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500" w:right="240" w:hanging="492"/>
        <w:spacing w:after="0" w:line="243" w:lineRule="auto"/>
        <w:tabs>
          <w:tab w:leader="none" w:pos="50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2021</w:t>
      </w:r>
    </w:p>
    <w:p>
      <w:pPr>
        <w:ind w:left="500" w:hanging="492"/>
        <w:spacing w:after="0" w:line="189" w:lineRule="auto"/>
        <w:tabs>
          <w:tab w:leader="none" w:pos="50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w:t>
      </w:r>
    </w:p>
    <w:p>
      <w:pPr>
        <w:spacing w:after="0" w:line="220" w:lineRule="exact"/>
        <w:rPr>
          <w:sz w:val="24"/>
          <w:szCs w:val="24"/>
          <w:color w:val="auto"/>
        </w:rPr>
      </w:pPr>
    </w:p>
    <w:p>
      <w:pPr>
        <w:ind w:left="500"/>
        <w:spacing w:after="0"/>
        <w:tabs>
          <w:tab w:leader="none" w:pos="5680" w:val="left"/>
        </w:tabs>
        <w:rPr>
          <w:sz w:val="20"/>
          <w:szCs w:val="20"/>
          <w:color w:val="auto"/>
        </w:rPr>
      </w:pPr>
      <w:r>
        <w:rPr>
          <w:rFonts w:ascii="Arial" w:cs="Arial" w:eastAsia="Arial" w:hAnsi="Arial"/>
          <w:sz w:val="22"/>
          <w:szCs w:val="22"/>
          <w:b w:val="1"/>
          <w:bCs w:val="1"/>
          <w:color w:val="auto"/>
        </w:rPr>
        <w:t>1934 FOR THE TRANSITION PERIOD FROM</w:t>
      </w:r>
      <w:r>
        <w:rPr>
          <w:sz w:val="20"/>
          <w:szCs w:val="20"/>
          <w:color w:val="auto"/>
        </w:rPr>
        <w:tab/>
      </w:r>
      <w:r>
        <w:rPr>
          <w:rFonts w:ascii="Arial" w:cs="Arial" w:eastAsia="Arial" w:hAnsi="Arial"/>
          <w:sz w:val="21"/>
          <w:szCs w:val="21"/>
          <w:b w:val="1"/>
          <w:bCs w:val="1"/>
          <w:color w:val="auto"/>
        </w:rPr>
        <w:t>TO</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001-37566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111760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4" w:lineRule="exact"/>
        <w:rPr>
          <w:sz w:val="24"/>
          <w:szCs w:val="24"/>
          <w:color w:val="auto"/>
        </w:rPr>
      </w:pPr>
    </w:p>
    <w:tbl>
      <w:tblPr>
        <w:tblLayout w:type="fixed"/>
        <w:tblInd w:w="10" w:type="dxa"/>
        <w:tblCellMar>
          <w:top w:w="0" w:type="dxa"/>
          <w:left w:w="0" w:type="dxa"/>
          <w:bottom w:w="0" w:type="dxa"/>
          <w:right w:w="0" w:type="dxa"/>
        </w:tblCellMar>
      </w:tblPr>
      <w:tr>
        <w:trPr>
          <w:trHeight w:val="525"/>
        </w:trPr>
        <w:tc>
          <w:tcPr>
            <w:tcW w:w="3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20" w:type="dxa"/>
            <w:vAlign w:val="bottom"/>
            <w:gridSpan w:val="4"/>
          </w:tcPr>
          <w:p>
            <w:pPr>
              <w:jc w:val="center"/>
              <w:ind w:right="380"/>
              <w:spacing w:after="0"/>
              <w:rPr>
                <w:sz w:val="20"/>
                <w:szCs w:val="20"/>
                <w:color w:val="auto"/>
              </w:rPr>
            </w:pPr>
            <w:r>
              <w:rPr>
                <w:rFonts w:ascii="Arial" w:cs="Arial" w:eastAsia="Arial" w:hAnsi="Arial"/>
                <w:sz w:val="43"/>
                <w:szCs w:val="43"/>
                <w:b w:val="1"/>
                <w:bCs w:val="1"/>
                <w:color w:val="auto"/>
              </w:rPr>
              <w:t>SYNLOGIC, INC.</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560" w:type="dxa"/>
            <w:vAlign w:val="bottom"/>
          </w:tcPr>
          <w:p>
            <w:pPr>
              <w:spacing w:after="0"/>
              <w:rPr>
                <w:sz w:val="20"/>
                <w:szCs w:val="20"/>
                <w:color w:val="auto"/>
              </w:rPr>
            </w:pPr>
          </w:p>
        </w:tc>
        <w:tc>
          <w:tcPr>
            <w:tcW w:w="432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0"/>
              </w:rPr>
              <w:t>(Exact name of Registrant as specified in its Charter)</w:t>
            </w: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560" w:type="dxa"/>
            <w:vAlign w:val="bottom"/>
            <w:vMerge w:val="restart"/>
          </w:tcPr>
          <w:p>
            <w:pPr>
              <w:jc w:val="center"/>
              <w:ind w:left="1519"/>
              <w:spacing w:after="0"/>
              <w:rPr>
                <w:sz w:val="20"/>
                <w:szCs w:val="20"/>
                <w:color w:val="auto"/>
              </w:rPr>
            </w:pPr>
            <w:r>
              <w:rPr>
                <w:rFonts w:ascii="Arial" w:cs="Arial" w:eastAsia="Arial" w:hAnsi="Arial"/>
                <w:sz w:val="18"/>
                <w:szCs w:val="18"/>
                <w:b w:val="1"/>
                <w:bCs w:val="1"/>
                <w:color w:val="auto"/>
                <w:w w:val="91"/>
              </w:rPr>
              <w:t>Delaware</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4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360" w:type="dxa"/>
            <w:vAlign w:val="bottom"/>
            <w:vMerge w:val="restart"/>
          </w:tcPr>
          <w:p>
            <w:pPr>
              <w:jc w:val="right"/>
              <w:ind w:right="2060"/>
              <w:spacing w:after="0"/>
              <w:rPr>
                <w:sz w:val="20"/>
                <w:szCs w:val="20"/>
                <w:color w:val="auto"/>
              </w:rPr>
            </w:pPr>
            <w:r>
              <w:rPr>
                <w:rFonts w:ascii="Arial" w:cs="Arial" w:eastAsia="Arial" w:hAnsi="Arial"/>
                <w:sz w:val="18"/>
                <w:szCs w:val="18"/>
                <w:b w:val="1"/>
                <w:bCs w:val="1"/>
                <w:color w:val="auto"/>
              </w:rPr>
              <w:t>26-1824804</w:t>
            </w:r>
          </w:p>
        </w:tc>
        <w:tc>
          <w:tcPr>
            <w:tcW w:w="0" w:type="dxa"/>
            <w:vAlign w:val="bottom"/>
          </w:tcPr>
          <w:p>
            <w:pPr>
              <w:spacing w:after="0"/>
              <w:rPr>
                <w:sz w:val="1"/>
                <w:szCs w:val="1"/>
                <w:color w:val="auto"/>
              </w:rPr>
            </w:pPr>
          </w:p>
        </w:tc>
      </w:tr>
      <w:tr>
        <w:trPr>
          <w:trHeight w:val="187"/>
        </w:trPr>
        <w:tc>
          <w:tcPr>
            <w:tcW w:w="35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560" w:type="dxa"/>
            <w:vAlign w:val="bottom"/>
          </w:tcPr>
          <w:p>
            <w:pPr>
              <w:jc w:val="center"/>
              <w:ind w:left="151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360" w:type="dxa"/>
            <w:vAlign w:val="bottom"/>
          </w:tcPr>
          <w:p>
            <w:pPr>
              <w:jc w:val="center"/>
              <w:ind w:right="1720"/>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560" w:type="dxa"/>
            <w:vAlign w:val="bottom"/>
          </w:tcPr>
          <w:p>
            <w:pPr>
              <w:jc w:val="center"/>
              <w:ind w:left="1519"/>
              <w:spacing w:after="0"/>
              <w:rPr>
                <w:sz w:val="20"/>
                <w:szCs w:val="20"/>
                <w:color w:val="auto"/>
              </w:rPr>
            </w:pPr>
            <w:r>
              <w:rPr>
                <w:rFonts w:ascii="Arial" w:cs="Arial" w:eastAsia="Arial" w:hAnsi="Arial"/>
                <w:sz w:val="14"/>
                <w:szCs w:val="14"/>
                <w:b w:val="1"/>
                <w:bCs w:val="1"/>
                <w:color w:val="auto"/>
                <w:w w:val="94"/>
              </w:rPr>
              <w:t>incorporation or organization)</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60" w:type="dxa"/>
            <w:vAlign w:val="bottom"/>
          </w:tcPr>
          <w:p>
            <w:pPr>
              <w:jc w:val="center"/>
              <w:ind w:right="1700"/>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304"/>
        </w:trPr>
        <w:tc>
          <w:tcPr>
            <w:tcW w:w="3560" w:type="dxa"/>
            <w:vAlign w:val="bottom"/>
          </w:tcPr>
          <w:p>
            <w:pPr>
              <w:jc w:val="center"/>
              <w:ind w:left="1539"/>
              <w:spacing w:after="0"/>
              <w:rPr>
                <w:sz w:val="20"/>
                <w:szCs w:val="20"/>
                <w:color w:val="auto"/>
              </w:rPr>
            </w:pPr>
            <w:r>
              <w:rPr>
                <w:rFonts w:ascii="Arial" w:cs="Arial" w:eastAsia="Arial" w:hAnsi="Arial"/>
                <w:sz w:val="18"/>
                <w:szCs w:val="18"/>
                <w:b w:val="1"/>
                <w:bCs w:val="1"/>
                <w:color w:val="auto"/>
                <w:w w:val="89"/>
              </w:rPr>
              <w:t>301 Binney St., Suite 402</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560" w:type="dxa"/>
            <w:vAlign w:val="bottom"/>
          </w:tcPr>
          <w:p>
            <w:pPr>
              <w:jc w:val="center"/>
              <w:ind w:left="1539"/>
              <w:spacing w:after="0"/>
              <w:rPr>
                <w:sz w:val="20"/>
                <w:szCs w:val="20"/>
                <w:color w:val="auto"/>
              </w:rPr>
            </w:pPr>
            <w:r>
              <w:rPr>
                <w:rFonts w:ascii="Arial" w:cs="Arial" w:eastAsia="Arial" w:hAnsi="Arial"/>
                <w:sz w:val="18"/>
                <w:szCs w:val="18"/>
                <w:b w:val="1"/>
                <w:bCs w:val="1"/>
                <w:color w:val="auto"/>
                <w:w w:val="95"/>
              </w:rPr>
              <w:t>Cambridge, MA</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60" w:type="dxa"/>
            <w:vAlign w:val="bottom"/>
          </w:tcPr>
          <w:p>
            <w:pPr>
              <w:jc w:val="right"/>
              <w:ind w:right="2260"/>
              <w:spacing w:after="0"/>
              <w:rPr>
                <w:sz w:val="20"/>
                <w:szCs w:val="20"/>
                <w:color w:val="auto"/>
              </w:rPr>
            </w:pPr>
            <w:r>
              <w:rPr>
                <w:rFonts w:ascii="Arial" w:cs="Arial" w:eastAsia="Arial" w:hAnsi="Arial"/>
                <w:sz w:val="18"/>
                <w:szCs w:val="18"/>
                <w:b w:val="1"/>
                <w:bCs w:val="1"/>
                <w:color w:val="auto"/>
              </w:rPr>
              <w:t>02142</w:t>
            </w:r>
          </w:p>
        </w:tc>
        <w:tc>
          <w:tcPr>
            <w:tcW w:w="0" w:type="dxa"/>
            <w:vAlign w:val="bottom"/>
          </w:tcPr>
          <w:p>
            <w:pPr>
              <w:spacing w:after="0"/>
              <w:rPr>
                <w:sz w:val="1"/>
                <w:szCs w:val="1"/>
                <w:color w:val="auto"/>
              </w:rPr>
            </w:pPr>
          </w:p>
        </w:tc>
      </w:tr>
      <w:tr>
        <w:trPr>
          <w:trHeight w:val="153"/>
        </w:trPr>
        <w:tc>
          <w:tcPr>
            <w:tcW w:w="7880" w:type="dxa"/>
            <w:vAlign w:val="bottom"/>
            <w:gridSpan w:val="6"/>
          </w:tcPr>
          <w:p>
            <w:pPr>
              <w:jc w:val="center"/>
              <w:ind w:right="2700"/>
              <w:spacing w:after="0" w:line="153" w:lineRule="exact"/>
              <w:rPr>
                <w:sz w:val="20"/>
                <w:szCs w:val="20"/>
                <w:color w:val="auto"/>
              </w:rPr>
            </w:pPr>
            <w:r>
              <w:rPr>
                <w:rFonts w:ascii="Arial" w:cs="Arial" w:eastAsia="Arial" w:hAnsi="Arial"/>
                <w:sz w:val="14"/>
                <w:szCs w:val="14"/>
                <w:b w:val="1"/>
                <w:bCs w:val="1"/>
                <w:color w:val="auto"/>
                <w:w w:val="91"/>
              </w:rPr>
              <w:t>(Address of principal executive offices)</w:t>
            </w:r>
          </w:p>
        </w:tc>
        <w:tc>
          <w:tcPr>
            <w:tcW w:w="3360" w:type="dxa"/>
            <w:vAlign w:val="bottom"/>
          </w:tcPr>
          <w:p>
            <w:pPr>
              <w:jc w:val="center"/>
              <w:ind w:right="1700"/>
              <w:spacing w:after="0" w:line="153" w:lineRule="exact"/>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12"/>
        </w:trPr>
        <w:tc>
          <w:tcPr>
            <w:tcW w:w="3560" w:type="dxa"/>
            <w:vAlign w:val="bottom"/>
          </w:tcPr>
          <w:p>
            <w:pPr>
              <w:spacing w:after="0"/>
              <w:rPr>
                <w:sz w:val="18"/>
                <w:szCs w:val="18"/>
                <w:color w:val="auto"/>
              </w:rPr>
            </w:pPr>
          </w:p>
        </w:tc>
        <w:tc>
          <w:tcPr>
            <w:tcW w:w="3180" w:type="dxa"/>
            <w:vAlign w:val="bottom"/>
            <w:gridSpan w:val="3"/>
          </w:tcPr>
          <w:p>
            <w:pPr>
              <w:jc w:val="center"/>
              <w:ind w:left="850"/>
              <w:spacing w:after="0"/>
              <w:rPr>
                <w:sz w:val="20"/>
                <w:szCs w:val="20"/>
                <w:color w:val="auto"/>
              </w:rPr>
            </w:pPr>
            <w:r>
              <w:rPr>
                <w:rFonts w:ascii="Arial" w:cs="Arial" w:eastAsia="Arial" w:hAnsi="Arial"/>
                <w:sz w:val="18"/>
                <w:szCs w:val="18"/>
                <w:b w:val="1"/>
                <w:bCs w:val="1"/>
                <w:color w:val="auto"/>
                <w:w w:val="90"/>
              </w:rPr>
              <w:t>(617) 401-9975</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1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3"/>
        </w:trPr>
        <w:tc>
          <w:tcPr>
            <w:tcW w:w="3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20" w:type="dxa"/>
            <w:vAlign w:val="bottom"/>
            <w:gridSpan w:val="4"/>
          </w:tcPr>
          <w:p>
            <w:pPr>
              <w:jc w:val="center"/>
              <w:ind w:right="380"/>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5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000" w:type="dxa"/>
            <w:vAlign w:val="bottom"/>
            <w:tcBorders>
              <w:bottom w:val="single" w:sz="8" w:color="auto"/>
            </w:tcBorders>
            <w:gridSpan w:val="2"/>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560" w:type="dxa"/>
            <w:vAlign w:val="bottom"/>
            <w:tcBorders>
              <w:left w:val="single" w:sz="8" w:color="auto"/>
              <w:bottom w:val="single" w:sz="8" w:color="auto"/>
            </w:tcBorders>
          </w:tcPr>
          <w:p>
            <w:pPr>
              <w:jc w:val="center"/>
              <w:ind w:left="119"/>
              <w:spacing w:after="0"/>
              <w:rPr>
                <w:sz w:val="20"/>
                <w:szCs w:val="20"/>
                <w:color w:val="auto"/>
              </w:rPr>
            </w:pPr>
            <w:r>
              <w:rPr>
                <w:rFonts w:ascii="Arial" w:cs="Arial" w:eastAsia="Arial" w:hAnsi="Arial"/>
                <w:sz w:val="16"/>
                <w:szCs w:val="16"/>
                <w:color w:val="auto"/>
                <w:w w:val="90"/>
              </w:rPr>
              <w:t>Title of each class</w:t>
            </w:r>
          </w:p>
        </w:tc>
        <w:tc>
          <w:tcPr>
            <w:tcW w:w="20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3000" w:type="dxa"/>
            <w:vAlign w:val="bottom"/>
            <w:tcBorders>
              <w:bottom w:val="single" w:sz="8" w:color="auto"/>
              <w:right w:val="single" w:sz="8" w:color="auto"/>
            </w:tcBorders>
            <w:gridSpan w:val="2"/>
          </w:tcPr>
          <w:p>
            <w:pPr>
              <w:jc w:val="center"/>
              <w:ind w:right="740"/>
              <w:spacing w:after="0"/>
              <w:rPr>
                <w:sz w:val="20"/>
                <w:szCs w:val="20"/>
                <w:color w:val="auto"/>
              </w:rPr>
            </w:pPr>
            <w:r>
              <w:rPr>
                <w:rFonts w:ascii="Arial" w:cs="Arial" w:eastAsia="Arial" w:hAnsi="Arial"/>
                <w:sz w:val="16"/>
                <w:szCs w:val="16"/>
                <w:color w:val="auto"/>
                <w:w w:val="94"/>
              </w:rPr>
              <w:t>Trading Symbol</w:t>
            </w:r>
          </w:p>
        </w:tc>
        <w:tc>
          <w:tcPr>
            <w:tcW w:w="380" w:type="dxa"/>
            <w:vAlign w:val="bottom"/>
            <w:tcBorders>
              <w:bottom w:val="single" w:sz="8" w:color="auto"/>
            </w:tcBorders>
          </w:tcPr>
          <w:p>
            <w:pPr>
              <w:spacing w:after="0"/>
              <w:rPr>
                <w:sz w:val="17"/>
                <w:szCs w:val="17"/>
                <w:color w:val="auto"/>
              </w:rPr>
            </w:pPr>
          </w:p>
        </w:tc>
        <w:tc>
          <w:tcPr>
            <w:tcW w:w="3360" w:type="dxa"/>
            <w:vAlign w:val="bottom"/>
            <w:tcBorders>
              <w:bottom w:val="single" w:sz="8" w:color="auto"/>
              <w:right w:val="single" w:sz="8" w:color="auto"/>
            </w:tcBorders>
          </w:tcPr>
          <w:p>
            <w:pPr>
              <w:jc w:val="center"/>
              <w:ind w:right="300"/>
              <w:spacing w:after="0"/>
              <w:rPr>
                <w:sz w:val="20"/>
                <w:szCs w:val="20"/>
                <w:color w:val="auto"/>
              </w:rPr>
            </w:pPr>
            <w:r>
              <w:rPr>
                <w:rFonts w:ascii="Arial" w:cs="Arial" w:eastAsia="Arial" w:hAnsi="Arial"/>
                <w:sz w:val="16"/>
                <w:szCs w:val="16"/>
                <w:color w:val="auto"/>
                <w:w w:val="91"/>
              </w:rPr>
              <w:t>Name of exchange on which registered</w:t>
            </w:r>
          </w:p>
        </w:tc>
        <w:tc>
          <w:tcPr>
            <w:tcW w:w="0" w:type="dxa"/>
            <w:vAlign w:val="bottom"/>
          </w:tcPr>
          <w:p>
            <w:pPr>
              <w:spacing w:after="0"/>
              <w:rPr>
                <w:sz w:val="1"/>
                <w:szCs w:val="1"/>
                <w:color w:val="auto"/>
              </w:rPr>
            </w:pPr>
          </w:p>
        </w:tc>
      </w:tr>
      <w:tr>
        <w:trPr>
          <w:trHeight w:val="196"/>
        </w:trPr>
        <w:tc>
          <w:tcPr>
            <w:tcW w:w="3560" w:type="dxa"/>
            <w:vAlign w:val="bottom"/>
            <w:tcBorders>
              <w:left w:val="single" w:sz="8" w:color="auto"/>
              <w:bottom w:val="single" w:sz="8" w:color="auto"/>
            </w:tcBorders>
          </w:tcPr>
          <w:p>
            <w:pPr>
              <w:jc w:val="center"/>
              <w:ind w:left="119"/>
              <w:spacing w:after="0"/>
              <w:rPr>
                <w:sz w:val="20"/>
                <w:szCs w:val="20"/>
                <w:color w:val="auto"/>
              </w:rPr>
            </w:pPr>
            <w:r>
              <w:rPr>
                <w:rFonts w:ascii="Arial" w:cs="Arial" w:eastAsia="Arial" w:hAnsi="Arial"/>
                <w:sz w:val="16"/>
                <w:szCs w:val="16"/>
                <w:color w:val="auto"/>
                <w:w w:val="90"/>
              </w:rPr>
              <w:t>Common Stock, par value $0.001 per share</w:t>
            </w:r>
          </w:p>
        </w:tc>
        <w:tc>
          <w:tcPr>
            <w:tcW w:w="20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3000" w:type="dxa"/>
            <w:vAlign w:val="bottom"/>
            <w:tcBorders>
              <w:bottom w:val="single" w:sz="8" w:color="auto"/>
              <w:right w:val="single" w:sz="8" w:color="auto"/>
            </w:tcBorders>
            <w:gridSpan w:val="2"/>
          </w:tcPr>
          <w:p>
            <w:pPr>
              <w:jc w:val="center"/>
              <w:ind w:right="760"/>
              <w:spacing w:after="0"/>
              <w:rPr>
                <w:sz w:val="20"/>
                <w:szCs w:val="20"/>
                <w:color w:val="auto"/>
              </w:rPr>
            </w:pPr>
            <w:r>
              <w:rPr>
                <w:rFonts w:ascii="Arial" w:cs="Arial" w:eastAsia="Arial" w:hAnsi="Arial"/>
                <w:sz w:val="16"/>
                <w:szCs w:val="16"/>
                <w:color w:val="auto"/>
              </w:rPr>
              <w:t>SYBX</w:t>
            </w:r>
          </w:p>
        </w:tc>
        <w:tc>
          <w:tcPr>
            <w:tcW w:w="380" w:type="dxa"/>
            <w:vAlign w:val="bottom"/>
            <w:tcBorders>
              <w:bottom w:val="single" w:sz="8" w:color="auto"/>
            </w:tcBorders>
          </w:tcPr>
          <w:p>
            <w:pPr>
              <w:spacing w:after="0"/>
              <w:rPr>
                <w:sz w:val="17"/>
                <w:szCs w:val="17"/>
                <w:color w:val="auto"/>
              </w:rPr>
            </w:pPr>
          </w:p>
        </w:tc>
        <w:tc>
          <w:tcPr>
            <w:tcW w:w="3360" w:type="dxa"/>
            <w:vAlign w:val="bottom"/>
            <w:tcBorders>
              <w:bottom w:val="single" w:sz="8" w:color="auto"/>
              <w:right w:val="single" w:sz="8" w:color="auto"/>
            </w:tcBorders>
          </w:tcPr>
          <w:p>
            <w:pPr>
              <w:jc w:val="center"/>
              <w:ind w:right="320"/>
              <w:spacing w:after="0"/>
              <w:rPr>
                <w:sz w:val="20"/>
                <w:szCs w:val="20"/>
                <w:color w:val="auto"/>
              </w:rPr>
            </w:pPr>
            <w:r>
              <w:rPr>
                <w:rFonts w:ascii="Arial" w:cs="Arial" w:eastAsia="Arial" w:hAnsi="Arial"/>
                <w:sz w:val="16"/>
                <w:szCs w:val="16"/>
                <w:color w:val="auto"/>
                <w:w w:val="92"/>
              </w:rPr>
              <w:t>The Nasdaq Capital Market</w:t>
            </w:r>
          </w:p>
        </w:tc>
        <w:tc>
          <w:tcPr>
            <w:tcW w:w="0" w:type="dxa"/>
            <w:vAlign w:val="bottom"/>
          </w:tcPr>
          <w:p>
            <w:pPr>
              <w:spacing w:after="0"/>
              <w:rPr>
                <w:sz w:val="1"/>
                <w:szCs w:val="1"/>
                <w:color w:val="auto"/>
              </w:rPr>
            </w:pPr>
          </w:p>
        </w:tc>
      </w:tr>
    </w:tbl>
    <w:p>
      <w:pPr>
        <w:spacing w:after="0" w:line="193" w:lineRule="exact"/>
        <w:rPr>
          <w:sz w:val="24"/>
          <w:szCs w:val="24"/>
          <w:color w:val="auto"/>
        </w:rPr>
      </w:pPr>
    </w:p>
    <w:p>
      <w:pPr>
        <w:ind w:right="38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1" w:lineRule="exact"/>
        <w:rPr>
          <w:sz w:val="24"/>
          <w:szCs w:val="24"/>
          <w:color w:val="auto"/>
        </w:rPr>
      </w:pPr>
    </w:p>
    <w:p>
      <w:pPr>
        <w:ind w:right="40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01" w:lineRule="exact"/>
        <w:rPr>
          <w:sz w:val="24"/>
          <w:szCs w:val="24"/>
          <w:color w:val="auto"/>
        </w:rPr>
      </w:pPr>
    </w:p>
    <w:p>
      <w:pPr>
        <w:ind w:right="26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440"/>
              <w:spacing w:after="0"/>
              <w:rPr>
                <w:sz w:val="20"/>
                <w:szCs w:val="20"/>
                <w:color w:val="auto"/>
              </w:rPr>
            </w:pPr>
            <w:r>
              <w:rPr>
                <w:rFonts w:ascii="Arial" w:cs="Arial" w:eastAsia="Arial" w:hAnsi="Arial"/>
                <w:sz w:val="16"/>
                <w:szCs w:val="16"/>
                <w:color w:val="auto"/>
              </w:rPr>
              <w:t>Accelerated filer</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16"/>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31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440"/>
              <w:spacing w:after="0"/>
              <w:rPr>
                <w:sz w:val="20"/>
                <w:szCs w:val="20"/>
                <w:color w:val="auto"/>
              </w:rPr>
            </w:pPr>
            <w:r>
              <w:rPr>
                <w:rFonts w:ascii="Arial" w:cs="Arial" w:eastAsia="Arial" w:hAnsi="Arial"/>
                <w:sz w:val="16"/>
                <w:szCs w:val="16"/>
                <w:color w:val="auto"/>
              </w:rPr>
              <w:t>Smaller reporting company</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198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5020" w:type="dxa"/>
            <w:vAlign w:val="bottom"/>
          </w:tcPr>
          <w:p>
            <w:pPr>
              <w:ind w:left="2440"/>
              <w:spacing w:after="0"/>
              <w:rPr>
                <w:sz w:val="20"/>
                <w:szCs w:val="20"/>
                <w:color w:val="auto"/>
              </w:rPr>
            </w:pPr>
            <w:r>
              <w:rPr>
                <w:rFonts w:ascii="Arial" w:cs="Arial" w:eastAsia="Arial" w:hAnsi="Arial"/>
                <w:sz w:val="16"/>
                <w:szCs w:val="16"/>
                <w:color w:val="auto"/>
              </w:rPr>
              <w:t>Emerging growth company</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86" w:lineRule="exact"/>
        <w:rPr>
          <w:sz w:val="24"/>
          <w:szCs w:val="24"/>
          <w:color w:val="auto"/>
        </w:rPr>
      </w:pPr>
    </w:p>
    <w:p>
      <w:pPr>
        <w:ind w:right="5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0" w:lineRule="exact"/>
        <w:rPr>
          <w:sz w:val="24"/>
          <w:szCs w:val="24"/>
          <w:color w:val="auto"/>
        </w:rPr>
      </w:pPr>
    </w:p>
    <w:p>
      <w:pPr>
        <w:ind w:right="2660"/>
        <w:spacing w:after="0" w:line="280"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May 6, 2021, there were 52,368,221 shares of the registrant’s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420370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This Quarterly Report on Form 10-Q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herein are forward-looking statements. In some cases, you can identify forward-looking statements by terminology such as “may,” “will,” “should,” “expects,” “intends,” “plans,” “anticipates,” “believes,” “estimates,” “predicts,” “potential,” “continue” or the negative of these terms or other comparable terminology. These forward-looking statements include, but are not limited to, statements about:</w:t>
      </w:r>
    </w:p>
    <w:p>
      <w:pPr>
        <w:spacing w:after="0" w:line="67" w:lineRule="exact"/>
        <w:rPr>
          <w:sz w:val="20"/>
          <w:szCs w:val="20"/>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research and development efforts;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for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 for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collaborations with third parties;</w:t>
      </w:r>
    </w:p>
    <w:p>
      <w:pPr>
        <w:spacing w:after="0" w:line="117"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timing and costs involved in developing manufacturing processes and in manufacturing products, as well as agreements with third-party manufacturers;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of progress and cost of our commercialization activities;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expenses we incur in marketing and selling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revenue generated by sales of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emergence of competing or complementary technological developments;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terms and timing of any additional collaborative, licensing or other arrangements that we may establish;</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acquisition of businesses, products and technologies;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need to implement additional infrastructure and internal systems;</w:t>
      </w:r>
    </w:p>
    <w:p>
      <w:pPr>
        <w:spacing w:after="0" w:line="117" w:lineRule="exact"/>
        <w:rPr>
          <w:rFonts w:ascii="Arial" w:cs="Arial" w:eastAsia="Arial" w:hAnsi="Arial"/>
          <w:sz w:val="18"/>
          <w:szCs w:val="18"/>
          <w:color w:val="auto"/>
        </w:rPr>
      </w:pPr>
    </w:p>
    <w:p>
      <w:pPr>
        <w:ind w:left="1000" w:right="52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need to add personnel and financial and management information systems to support our product development and potential future commercialization efforts, and to enable us to operate as a public company;</w:t>
      </w:r>
    </w:p>
    <w:p>
      <w:pPr>
        <w:spacing w:after="0" w:line="62" w:lineRule="exact"/>
        <w:rPr>
          <w:rFonts w:ascii="Arial" w:cs="Arial" w:eastAsia="Arial" w:hAnsi="Arial"/>
          <w:sz w:val="18"/>
          <w:szCs w:val="18"/>
          <w:color w:val="auto"/>
        </w:rPr>
      </w:pPr>
    </w:p>
    <w:p>
      <w:pPr>
        <w:ind w:left="1000" w:right="460" w:hanging="493"/>
        <w:spacing w:after="0" w:line="308" w:lineRule="auto"/>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development of major public health concerns, including the novel coronavirus outbreak or other pandemics arising globally, and the current and future impact of it and COVID-19 on our clinical trials, business operations and funding requirements; and</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Part II, Item 1A. “Risk Factors”.</w:t>
      </w:r>
    </w:p>
    <w:p>
      <w:pPr>
        <w:spacing w:after="0" w:line="225" w:lineRule="exact"/>
        <w:rPr>
          <w:sz w:val="20"/>
          <w:szCs w:val="20"/>
          <w:color w:val="auto"/>
        </w:rPr>
      </w:pPr>
    </w:p>
    <w:p>
      <w:pPr>
        <w:ind w:right="180" w:firstLine="510"/>
        <w:spacing w:after="0" w:line="254" w:lineRule="auto"/>
        <w:rPr>
          <w:sz w:val="20"/>
          <w:szCs w:val="20"/>
          <w:color w:val="auto"/>
        </w:rPr>
      </w:pPr>
      <w:r>
        <w:rPr>
          <w:rFonts w:ascii="Arial" w:cs="Arial" w:eastAsia="Arial" w:hAnsi="Arial"/>
          <w:sz w:val="18"/>
          <w:szCs w:val="18"/>
          <w:color w:val="auto"/>
        </w:rPr>
        <w:t>Any forward-looking statements in this Quarterly Report on Form 10-Q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II, Item 1A. “Risk Factors” and elsewhere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95" w:lineRule="exact"/>
        <w:rPr>
          <w:sz w:val="20"/>
          <w:szCs w:val="20"/>
          <w:color w:val="auto"/>
        </w:rPr>
      </w:pPr>
    </w:p>
    <w:p>
      <w:pPr>
        <w:ind w:right="140" w:firstLine="510"/>
        <w:spacing w:after="0" w:line="273" w:lineRule="auto"/>
        <w:rPr>
          <w:sz w:val="20"/>
          <w:szCs w:val="20"/>
          <w:color w:val="auto"/>
        </w:rPr>
      </w:pPr>
      <w:r>
        <w:rPr>
          <w:rFonts w:ascii="Arial" w:cs="Arial" w:eastAsia="Arial" w:hAnsi="Arial"/>
          <w:sz w:val="17"/>
          <w:szCs w:val="17"/>
          <w:color w:val="auto"/>
        </w:rPr>
        <w:t>This Quarterly Report on Form 10-Q also contains estimates, projections and other information concerning our industry, our business, and the markets for certain diseases, including data regarding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SYNLOGIC,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Page</w:t>
            </w:r>
          </w:p>
        </w:tc>
      </w:tr>
      <w:tr>
        <w:trPr>
          <w:trHeight w:val="358"/>
        </w:trPr>
        <w:tc>
          <w:tcPr>
            <w:tcW w:w="10220" w:type="dxa"/>
            <w:vAlign w:val="bottom"/>
            <w:gridSpan w:val="19"/>
          </w:tcPr>
          <w:p>
            <w:pPr>
              <w:spacing w:after="0"/>
              <w:rPr>
                <w:sz w:val="20"/>
                <w:szCs w:val="20"/>
                <w:color w:val="auto"/>
              </w:rPr>
            </w:pPr>
            <w:r>
              <w:rPr>
                <w:rFonts w:ascii="Arial" w:cs="Arial" w:eastAsia="Arial" w:hAnsi="Arial"/>
                <w:sz w:val="18"/>
                <w:szCs w:val="18"/>
                <w:b w:val="1"/>
                <w:bCs w:val="1"/>
                <w:color w:val="auto"/>
              </w:rPr>
              <w:t>PART I - FINANCIAL INFORMATION</w:t>
            </w:r>
          </w:p>
        </w:tc>
        <w:tc>
          <w:tcPr>
            <w:tcW w:w="1020" w:type="dxa"/>
            <w:vAlign w:val="bottom"/>
          </w:tcPr>
          <w:p>
            <w:pPr>
              <w:spacing w:after="0"/>
              <w:rPr>
                <w:sz w:val="24"/>
                <w:szCs w:val="24"/>
                <w:color w:val="auto"/>
              </w:rPr>
            </w:pPr>
          </w:p>
        </w:tc>
      </w:tr>
      <w:tr>
        <w:trPr>
          <w:trHeight w:val="338"/>
        </w:trPr>
        <w:tc>
          <w:tcPr>
            <w:tcW w:w="260" w:type="dxa"/>
            <w:vAlign w:val="bottom"/>
          </w:tcPr>
          <w:p>
            <w:pPr>
              <w:spacing w:after="0"/>
              <w:rPr>
                <w:sz w:val="24"/>
                <w:szCs w:val="24"/>
                <w:color w:val="auto"/>
              </w:rPr>
            </w:pPr>
          </w:p>
        </w:tc>
        <w:tc>
          <w:tcPr>
            <w:tcW w:w="9960" w:type="dxa"/>
            <w:vAlign w:val="bottom"/>
            <w:gridSpan w:val="18"/>
          </w:tcPr>
          <w:p>
            <w:pPr>
              <w:spacing w:after="0"/>
              <w:rPr>
                <w:sz w:val="20"/>
                <w:szCs w:val="20"/>
                <w:color w:val="auto"/>
              </w:rPr>
            </w:pPr>
            <w:r>
              <w:rPr>
                <w:rFonts w:ascii="Arial" w:cs="Arial" w:eastAsia="Arial" w:hAnsi="Arial"/>
                <w:sz w:val="18"/>
                <w:szCs w:val="18"/>
                <w:color w:val="auto"/>
              </w:rPr>
              <w:t>Item 1. Financial Statements</w:t>
            </w:r>
          </w:p>
        </w:tc>
        <w:tc>
          <w:tcPr>
            <w:tcW w:w="1020" w:type="dxa"/>
            <w:vAlign w:val="bottom"/>
          </w:tcPr>
          <w:p>
            <w:pPr>
              <w:spacing w:after="0"/>
              <w:rPr>
                <w:sz w:val="24"/>
                <w:szCs w:val="24"/>
                <w:color w:val="auto"/>
              </w:rPr>
            </w:pPr>
          </w:p>
        </w:tc>
      </w:tr>
      <w:tr>
        <w:trPr>
          <w:trHeight w:val="297"/>
        </w:trPr>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8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Unaudited Consolidated Balance Sheets</w:t>
              </w:r>
            </w:hyperlink>
          </w:p>
        </w:tc>
        <w:tc>
          <w:tcPr>
            <w:tcW w:w="6740" w:type="dxa"/>
            <w:vAlign w:val="bottom"/>
            <w:gridSpan w:val="8"/>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2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Unaudited Consolidated Statements of Operations and Comprehensive Loss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18"/>
        </w:trPr>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4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Unaudited Consolidated Statements of Stockholders’ Equity</w:t>
              </w:r>
            </w:hyperlink>
          </w:p>
        </w:tc>
        <w:tc>
          <w:tcPr>
            <w:tcW w:w="1120" w:type="dxa"/>
            <w:vAlign w:val="bottom"/>
            <w:tcBorders>
              <w:top w:val="single" w:sz="8" w:color="0000EE"/>
            </w:tcBorders>
            <w:gridSpan w:val="3"/>
          </w:tcPr>
          <w:p>
            <w:pPr>
              <w:spacing w:after="0"/>
              <w:rPr>
                <w:sz w:val="24"/>
                <w:szCs w:val="24"/>
                <w:color w:val="auto"/>
              </w:rPr>
            </w:pPr>
          </w:p>
        </w:tc>
        <w:tc>
          <w:tcPr>
            <w:tcW w:w="4160" w:type="dxa"/>
            <w:vAlign w:val="bottom"/>
            <w:gridSpan w:val="2"/>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Unaudited Consolidated Statements of Cash Flows</w:t>
              </w:r>
            </w:hyperlink>
          </w:p>
        </w:tc>
        <w:tc>
          <w:tcPr>
            <w:tcW w:w="5960" w:type="dxa"/>
            <w:vAlign w:val="bottom"/>
            <w:gridSpan w:val="7"/>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17"/>
        </w:trPr>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9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Unaudited Consolidated Financial Statements</w:t>
              </w:r>
            </w:hyperlink>
          </w:p>
        </w:tc>
        <w:tc>
          <w:tcPr>
            <w:tcW w:w="5680" w:type="dxa"/>
            <w:vAlign w:val="bottom"/>
            <w:gridSpan w:val="6"/>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8"/>
        </w:trPr>
        <w:tc>
          <w:tcPr>
            <w:tcW w:w="260" w:type="dxa"/>
            <w:vAlign w:val="bottom"/>
          </w:tcPr>
          <w:p>
            <w:pPr>
              <w:spacing w:after="0"/>
              <w:rPr>
                <w:sz w:val="24"/>
                <w:szCs w:val="24"/>
                <w:color w:val="auto"/>
              </w:rPr>
            </w:pPr>
          </w:p>
        </w:tc>
        <w:tc>
          <w:tcPr>
            <w:tcW w:w="7020" w:type="dxa"/>
            <w:vAlign w:val="bottom"/>
            <w:tcBorders>
              <w:bottom w:val="single" w:sz="8" w:color="0000EE"/>
            </w:tcBorders>
            <w:gridSpan w:val="17"/>
          </w:tcPr>
          <w:p>
            <w:pPr>
              <w:spacing w:after="0"/>
              <w:rPr>
                <w:rFonts w:ascii="Arial" w:cs="Arial" w:eastAsia="Arial" w:hAnsi="Arial"/>
                <w:sz w:val="18"/>
                <w:szCs w:val="18"/>
                <w:color w:val="0000EE"/>
                <w:w w:val="91"/>
              </w:rPr>
            </w:pPr>
            <w:hyperlink w:anchor="page16">
              <w:r>
                <w:rPr>
                  <w:rFonts w:ascii="Arial" w:cs="Arial" w:eastAsia="Arial" w:hAnsi="Arial"/>
                  <w:sz w:val="18"/>
                  <w:szCs w:val="18"/>
                  <w:color w:val="0000EE"/>
                  <w:w w:val="91"/>
                </w:rPr>
                <w:t>Item 2. Management’s Discussion and Analysis of Financial Condition and Results of Operations</w:t>
              </w:r>
            </w:hyperlink>
          </w:p>
        </w:tc>
        <w:tc>
          <w:tcPr>
            <w:tcW w:w="29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8"/>
        </w:trPr>
        <w:tc>
          <w:tcPr>
            <w:tcW w:w="260" w:type="dxa"/>
            <w:vAlign w:val="bottom"/>
          </w:tcPr>
          <w:p>
            <w:pPr>
              <w:spacing w:after="0"/>
              <w:rPr>
                <w:sz w:val="24"/>
                <w:szCs w:val="24"/>
                <w:color w:val="auto"/>
              </w:rPr>
            </w:pPr>
          </w:p>
        </w:tc>
        <w:tc>
          <w:tcPr>
            <w:tcW w:w="9960" w:type="dxa"/>
            <w:vAlign w:val="bottom"/>
            <w:gridSpan w:val="18"/>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3. Quantitative and Qualitative Disclosures about Market Risk</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18"/>
        </w:trPr>
        <w:tc>
          <w:tcPr>
            <w:tcW w:w="260" w:type="dxa"/>
            <w:vAlign w:val="bottom"/>
          </w:tcPr>
          <w:p>
            <w:pPr>
              <w:spacing w:after="0"/>
              <w:rPr>
                <w:sz w:val="24"/>
                <w:szCs w:val="24"/>
                <w:color w:val="auto"/>
              </w:rPr>
            </w:pPr>
          </w:p>
        </w:tc>
        <w:tc>
          <w:tcPr>
            <w:tcW w:w="23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4. Controls and Procedures</w:t>
              </w:r>
            </w:hyperlink>
          </w:p>
        </w:tc>
        <w:tc>
          <w:tcPr>
            <w:tcW w:w="2500" w:type="dxa"/>
            <w:vAlign w:val="bottom"/>
            <w:tcBorders>
              <w:top w:val="single" w:sz="8" w:color="0000EE"/>
            </w:tcBorders>
            <w:gridSpan w:val="6"/>
          </w:tcPr>
          <w:p>
            <w:pPr>
              <w:spacing w:after="0"/>
              <w:rPr>
                <w:sz w:val="24"/>
                <w:szCs w:val="24"/>
                <w:color w:val="auto"/>
              </w:rPr>
            </w:pPr>
          </w:p>
        </w:tc>
        <w:tc>
          <w:tcPr>
            <w:tcW w:w="5100" w:type="dxa"/>
            <w:vAlign w:val="bottom"/>
            <w:gridSpan w:val="4"/>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58"/>
        </w:trPr>
        <w:tc>
          <w:tcPr>
            <w:tcW w:w="10220" w:type="dxa"/>
            <w:vAlign w:val="bottom"/>
            <w:gridSpan w:val="19"/>
          </w:tcPr>
          <w:p>
            <w:pPr>
              <w:spacing w:after="0"/>
              <w:rPr>
                <w:sz w:val="20"/>
                <w:szCs w:val="20"/>
                <w:color w:val="auto"/>
              </w:rPr>
            </w:pPr>
            <w:r>
              <w:rPr>
                <w:rFonts w:ascii="Arial" w:cs="Arial" w:eastAsia="Arial" w:hAnsi="Arial"/>
                <w:sz w:val="18"/>
                <w:szCs w:val="18"/>
                <w:b w:val="1"/>
                <w:bCs w:val="1"/>
                <w:color w:val="auto"/>
              </w:rPr>
              <w:t>PART II - OTHER INFORMATION</w:t>
            </w:r>
          </w:p>
        </w:tc>
        <w:tc>
          <w:tcPr>
            <w:tcW w:w="1020" w:type="dxa"/>
            <w:vAlign w:val="bottom"/>
          </w:tcPr>
          <w:p>
            <w:pPr>
              <w:spacing w:after="0"/>
              <w:rPr>
                <w:sz w:val="24"/>
                <w:szCs w:val="24"/>
                <w:color w:val="auto"/>
              </w:rPr>
            </w:pPr>
          </w:p>
        </w:tc>
      </w:tr>
      <w:tr>
        <w:trPr>
          <w:trHeight w:val="297"/>
        </w:trPr>
        <w:tc>
          <w:tcPr>
            <w:tcW w:w="260" w:type="dxa"/>
            <w:vAlign w:val="bottom"/>
          </w:tcPr>
          <w:p>
            <w:pPr>
              <w:spacing w:after="0"/>
              <w:rPr>
                <w:sz w:val="24"/>
                <w:szCs w:val="24"/>
                <w:color w:val="auto"/>
              </w:rPr>
            </w:pPr>
          </w:p>
        </w:tc>
        <w:tc>
          <w:tcPr>
            <w:tcW w:w="19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Item 1. Legal Proceedings</w:t>
              </w:r>
            </w:hyperlink>
          </w:p>
        </w:tc>
        <w:tc>
          <w:tcPr>
            <w:tcW w:w="8060" w:type="dxa"/>
            <w:vAlign w:val="bottom"/>
            <w:gridSpan w:val="12"/>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8"/>
        </w:trPr>
        <w:tc>
          <w:tcPr>
            <w:tcW w:w="260" w:type="dxa"/>
            <w:vAlign w:val="bottom"/>
          </w:tcPr>
          <w:p>
            <w:pPr>
              <w:spacing w:after="0"/>
              <w:rPr>
                <w:sz w:val="24"/>
                <w:szCs w:val="24"/>
                <w:color w:val="auto"/>
              </w:rPr>
            </w:pPr>
          </w:p>
        </w:tc>
        <w:tc>
          <w:tcPr>
            <w:tcW w:w="160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Item 1A. Risk Factors</w:t>
              </w:r>
            </w:hyperlink>
          </w:p>
        </w:tc>
        <w:tc>
          <w:tcPr>
            <w:tcW w:w="8360" w:type="dxa"/>
            <w:vAlign w:val="bottom"/>
            <w:gridSpan w:val="14"/>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8"/>
        </w:trPr>
        <w:tc>
          <w:tcPr>
            <w:tcW w:w="260" w:type="dxa"/>
            <w:vAlign w:val="bottom"/>
          </w:tcPr>
          <w:p>
            <w:pPr>
              <w:spacing w:after="0"/>
              <w:rPr>
                <w:sz w:val="24"/>
                <w:szCs w:val="24"/>
                <w:color w:val="auto"/>
              </w:rPr>
            </w:pPr>
          </w:p>
        </w:tc>
        <w:tc>
          <w:tcPr>
            <w:tcW w:w="9960" w:type="dxa"/>
            <w:vAlign w:val="bottom"/>
            <w:gridSpan w:val="18"/>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Item 2. Unregistered Sales of Equity Securities and Use of Proceeds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18"/>
        </w:trPr>
        <w:tc>
          <w:tcPr>
            <w:tcW w:w="260" w:type="dxa"/>
            <w:vAlign w:val="bottom"/>
          </w:tcPr>
          <w:p>
            <w:pPr>
              <w:spacing w:after="0"/>
              <w:rPr>
                <w:sz w:val="24"/>
                <w:szCs w:val="24"/>
                <w:color w:val="auto"/>
              </w:rPr>
            </w:pPr>
          </w:p>
        </w:tc>
        <w:tc>
          <w:tcPr>
            <w:tcW w:w="4900" w:type="dxa"/>
            <w:vAlign w:val="bottom"/>
            <w:tcBorders>
              <w:top w:val="single" w:sz="8" w:color="0000EE"/>
            </w:tcBorders>
            <w:gridSpan w:val="15"/>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Item 3. Defaults Upon Senior Securities</w:t>
              </w:r>
            </w:hyperlink>
          </w:p>
        </w:tc>
        <w:tc>
          <w:tcPr>
            <w:tcW w:w="5060" w:type="dxa"/>
            <w:vAlign w:val="bottom"/>
            <w:gridSpan w:val="3"/>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18"/>
        </w:trPr>
        <w:tc>
          <w:tcPr>
            <w:tcW w:w="260" w:type="dxa"/>
            <w:vAlign w:val="bottom"/>
          </w:tcPr>
          <w:p>
            <w:pPr>
              <w:spacing w:after="0"/>
              <w:rPr>
                <w:sz w:val="24"/>
                <w:szCs w:val="24"/>
                <w:color w:val="auto"/>
              </w:rPr>
            </w:pPr>
          </w:p>
        </w:tc>
        <w:tc>
          <w:tcPr>
            <w:tcW w:w="23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56">
              <w:r>
                <w:rPr>
                  <w:rFonts w:ascii="Arial" w:cs="Arial" w:eastAsia="Arial" w:hAnsi="Arial"/>
                  <w:sz w:val="18"/>
                  <w:szCs w:val="18"/>
                  <w:color w:val="0000EE"/>
                  <w:w w:val="91"/>
                </w:rPr>
                <w:t>Item 4. Mine Safety Disclosures</w:t>
              </w:r>
            </w:hyperlink>
          </w:p>
        </w:tc>
        <w:tc>
          <w:tcPr>
            <w:tcW w:w="540" w:type="dxa"/>
            <w:vAlign w:val="bottom"/>
            <w:tcBorders>
              <w:top w:val="single" w:sz="8" w:color="0000EE"/>
            </w:tcBorders>
            <w:gridSpan w:val="2"/>
          </w:tcPr>
          <w:p>
            <w:pPr>
              <w:spacing w:after="0"/>
              <w:rPr>
                <w:sz w:val="24"/>
                <w:szCs w:val="24"/>
                <w:color w:val="auto"/>
              </w:rPr>
            </w:pPr>
          </w:p>
        </w:tc>
        <w:tc>
          <w:tcPr>
            <w:tcW w:w="7080" w:type="dxa"/>
            <w:vAlign w:val="bottom"/>
            <w:gridSpan w:val="9"/>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18"/>
        </w:trPr>
        <w:tc>
          <w:tcPr>
            <w:tcW w:w="260" w:type="dxa"/>
            <w:vAlign w:val="bottom"/>
          </w:tcPr>
          <w:p>
            <w:pPr>
              <w:spacing w:after="0"/>
              <w:rPr>
                <w:sz w:val="24"/>
                <w:szCs w:val="24"/>
                <w:color w:val="auto"/>
              </w:rPr>
            </w:pPr>
          </w:p>
        </w:tc>
        <w:tc>
          <w:tcPr>
            <w:tcW w:w="188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56">
              <w:r>
                <w:rPr>
                  <w:rFonts w:ascii="Arial" w:cs="Arial" w:eastAsia="Arial" w:hAnsi="Arial"/>
                  <w:sz w:val="18"/>
                  <w:szCs w:val="18"/>
                  <w:color w:val="0000EE"/>
                  <w:w w:val="92"/>
                </w:rPr>
                <w:t>Item 5. Other Information</w:t>
              </w:r>
            </w:hyperlink>
          </w:p>
        </w:tc>
        <w:tc>
          <w:tcPr>
            <w:tcW w:w="8080" w:type="dxa"/>
            <w:vAlign w:val="bottom"/>
            <w:gridSpan w:val="13"/>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18"/>
        </w:trPr>
        <w:tc>
          <w:tcPr>
            <w:tcW w:w="260" w:type="dxa"/>
            <w:vAlign w:val="bottom"/>
          </w:tcPr>
          <w:p>
            <w:pPr>
              <w:spacing w:after="0"/>
              <w:rPr>
                <w:sz w:val="24"/>
                <w:szCs w:val="24"/>
                <w:color w:val="auto"/>
              </w:rPr>
            </w:pPr>
          </w:p>
        </w:tc>
        <w:tc>
          <w:tcPr>
            <w:tcW w:w="9960" w:type="dxa"/>
            <w:vAlign w:val="bottom"/>
            <w:gridSpan w:val="18"/>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Item 6. Exhibits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18"/>
        </w:trPr>
        <w:tc>
          <w:tcPr>
            <w:tcW w:w="260" w:type="dxa"/>
            <w:vAlign w:val="bottom"/>
          </w:tcPr>
          <w:p>
            <w:pPr>
              <w:spacing w:after="0"/>
              <w:rPr>
                <w:sz w:val="24"/>
                <w:szCs w:val="24"/>
                <w:color w:val="auto"/>
              </w:rPr>
            </w:pPr>
          </w:p>
        </w:tc>
        <w:tc>
          <w:tcPr>
            <w:tcW w:w="1160" w:type="dxa"/>
            <w:vAlign w:val="bottom"/>
            <w:tcBorders>
              <w:top w:val="single" w:sz="8" w:color="0000EE"/>
            </w:tcBorders>
            <w:gridSpan w:val="3"/>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Signatures</w:t>
              </w:r>
            </w:hyperlink>
          </w:p>
        </w:tc>
        <w:tc>
          <w:tcPr>
            <w:tcW w:w="8800" w:type="dxa"/>
            <w:vAlign w:val="bottom"/>
            <w:gridSpan w:val="15"/>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1215"/>
        </w:trPr>
        <w:tc>
          <w:tcPr>
            <w:tcW w:w="260" w:type="dxa"/>
            <w:vAlign w:val="bottom"/>
            <w:tcBorders>
              <w:bottom w:val="single" w:sz="8" w:color="9A9A9A"/>
            </w:tcBorders>
          </w:tcPr>
          <w:p>
            <w:pPr>
              <w:spacing w:after="0"/>
              <w:rPr>
                <w:sz w:val="24"/>
                <w:szCs w:val="24"/>
                <w:color w:val="auto"/>
              </w:rPr>
            </w:pPr>
          </w:p>
        </w:tc>
        <w:tc>
          <w:tcPr>
            <w:tcW w:w="340" w:type="dxa"/>
            <w:vAlign w:val="bottom"/>
            <w:tcBorders>
              <w:top w:val="single" w:sz="8" w:color="0000EE"/>
              <w:bottom w:val="single" w:sz="8" w:color="9A9A9A"/>
            </w:tcBorders>
          </w:tcPr>
          <w:p>
            <w:pPr>
              <w:spacing w:after="0"/>
              <w:rPr>
                <w:sz w:val="24"/>
                <w:szCs w:val="24"/>
                <w:color w:val="auto"/>
              </w:rPr>
            </w:pPr>
          </w:p>
        </w:tc>
        <w:tc>
          <w:tcPr>
            <w:tcW w:w="420" w:type="dxa"/>
            <w:vAlign w:val="bottom"/>
            <w:tcBorders>
              <w:top w:val="single" w:sz="8" w:color="0000EE"/>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6900" w:type="dxa"/>
            <w:vAlign w:val="bottom"/>
            <w:tcBorders>
              <w:bottom w:val="single" w:sz="8" w:color="CFF0FC"/>
            </w:tcBorders>
          </w:tcPr>
          <w:p>
            <w:pPr>
              <w:spacing w:after="0"/>
              <w:rPr>
                <w:sz w:val="13"/>
                <w:szCs w:val="13"/>
                <w:color w:val="auto"/>
              </w:rPr>
            </w:pPr>
          </w:p>
        </w:tc>
        <w:tc>
          <w:tcPr>
            <w:tcW w:w="82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6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900" w:type="dxa"/>
            <w:vAlign w:val="bottom"/>
          </w:tcPr>
          <w:p>
            <w:pPr>
              <w:spacing w:after="0"/>
              <w:rPr>
                <w:sz w:val="20"/>
                <w:szCs w:val="20"/>
                <w:color w:val="auto"/>
              </w:rPr>
            </w:pPr>
            <w:r>
              <w:rPr>
                <w:rFonts w:ascii="Arial" w:cs="Arial" w:eastAsia="Arial" w:hAnsi="Arial"/>
                <w:sz w:val="18"/>
                <w:szCs w:val="18"/>
                <w:color w:val="auto"/>
              </w:rPr>
              <w:t>Current assets:</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08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26,704</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32,507</w:t>
            </w:r>
          </w:p>
        </w:tc>
        <w:tc>
          <w:tcPr>
            <w:tcW w:w="120" w:type="dxa"/>
            <w:vAlign w:val="bottom"/>
            <w:shd w:val="clear" w:color="auto" w:fill="CFF0FC"/>
          </w:tcPr>
          <w:p>
            <w:pPr>
              <w:spacing w:after="0"/>
              <w:rPr>
                <w:sz w:val="19"/>
                <w:szCs w:val="19"/>
                <w:color w:val="auto"/>
              </w:rPr>
            </w:pPr>
          </w:p>
        </w:tc>
      </w:tr>
      <w:tr>
        <w:trPr>
          <w:trHeight w:val="229"/>
        </w:trPr>
        <w:tc>
          <w:tcPr>
            <w:tcW w:w="6900" w:type="dxa"/>
            <w:vAlign w:val="bottom"/>
          </w:tcPr>
          <w:p>
            <w:pPr>
              <w:ind w:left="260"/>
              <w:spacing w:after="0"/>
              <w:rPr>
                <w:sz w:val="20"/>
                <w:szCs w:val="20"/>
                <w:color w:val="auto"/>
              </w:rPr>
            </w:pPr>
            <w:r>
              <w:rPr>
                <w:rFonts w:ascii="Arial" w:cs="Arial" w:eastAsia="Arial" w:hAnsi="Arial"/>
                <w:sz w:val="18"/>
                <w:szCs w:val="18"/>
                <w:color w:val="auto"/>
              </w:rPr>
              <w:t>Short-term marketable securities</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67,648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67,937</w:t>
            </w:r>
          </w:p>
        </w:tc>
        <w:tc>
          <w:tcPr>
            <w:tcW w:w="120" w:type="dxa"/>
            <w:vAlign w:val="bottom"/>
          </w:tcPr>
          <w:p>
            <w:pPr>
              <w:spacing w:after="0"/>
              <w:rPr>
                <w:sz w:val="19"/>
                <w:szCs w:val="19"/>
                <w:color w:val="auto"/>
              </w:rPr>
            </w:pPr>
          </w:p>
        </w:tc>
      </w:tr>
      <w:tr>
        <w:trPr>
          <w:trHeight w:val="230"/>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8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6,845</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6,402</w:t>
            </w:r>
          </w:p>
        </w:tc>
        <w:tc>
          <w:tcPr>
            <w:tcW w:w="120" w:type="dxa"/>
            <w:vAlign w:val="bottom"/>
            <w:shd w:val="clear" w:color="auto" w:fill="CFF0FC"/>
          </w:tcPr>
          <w:p>
            <w:pPr>
              <w:spacing w:after="0"/>
              <w:rPr>
                <w:sz w:val="19"/>
                <w:szCs w:val="19"/>
                <w:color w:val="auto"/>
              </w:rPr>
            </w:pPr>
          </w:p>
        </w:tc>
      </w:tr>
      <w:tr>
        <w:trPr>
          <w:trHeight w:val="223"/>
        </w:trPr>
        <w:tc>
          <w:tcPr>
            <w:tcW w:w="690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101,197</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106,846</w:t>
            </w:r>
          </w:p>
        </w:tc>
        <w:tc>
          <w:tcPr>
            <w:tcW w:w="120" w:type="dxa"/>
            <w:vAlign w:val="bottom"/>
          </w:tcPr>
          <w:p>
            <w:pPr>
              <w:spacing w:after="0"/>
              <w:rPr>
                <w:sz w:val="19"/>
                <w:szCs w:val="19"/>
                <w:color w:val="auto"/>
              </w:rPr>
            </w:pPr>
          </w:p>
        </w:tc>
      </w:tr>
      <w:tr>
        <w:trPr>
          <w:trHeight w:val="229"/>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10,174</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10,776</w:t>
            </w:r>
          </w:p>
        </w:tc>
        <w:tc>
          <w:tcPr>
            <w:tcW w:w="120" w:type="dxa"/>
            <w:vAlign w:val="bottom"/>
            <w:shd w:val="clear" w:color="auto" w:fill="CFF0FC"/>
          </w:tcPr>
          <w:p>
            <w:pPr>
              <w:spacing w:after="0"/>
              <w:rPr>
                <w:sz w:val="19"/>
                <w:szCs w:val="19"/>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Right of use asset - operating lease</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15,065</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15,527</w:t>
            </w:r>
          </w:p>
        </w:tc>
        <w:tc>
          <w:tcPr>
            <w:tcW w:w="120" w:type="dxa"/>
            <w:vAlign w:val="bottom"/>
          </w:tcPr>
          <w:p>
            <w:pPr>
              <w:spacing w:after="0"/>
              <w:rPr>
                <w:sz w:val="19"/>
                <w:szCs w:val="19"/>
                <w:color w:val="auto"/>
              </w:rPr>
            </w:pPr>
          </w:p>
        </w:tc>
      </w:tr>
      <w:tr>
        <w:trPr>
          <w:trHeight w:val="229"/>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w:t>
            </w:r>
          </w:p>
        </w:tc>
        <w:tc>
          <w:tcPr>
            <w:tcW w:w="120" w:type="dxa"/>
            <w:vAlign w:val="bottom"/>
            <w:shd w:val="clear" w:color="auto" w:fill="CFF0FC"/>
          </w:tcPr>
          <w:p>
            <w:pPr>
              <w:spacing w:after="0"/>
              <w:rPr>
                <w:sz w:val="19"/>
                <w:szCs w:val="19"/>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Prepaid research and development, net of current portion</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8,208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9,590</w:t>
            </w:r>
          </w:p>
        </w:tc>
        <w:tc>
          <w:tcPr>
            <w:tcW w:w="120" w:type="dxa"/>
            <w:vAlign w:val="bottom"/>
          </w:tcPr>
          <w:p>
            <w:pPr>
              <w:spacing w:after="0"/>
              <w:rPr>
                <w:sz w:val="19"/>
                <w:szCs w:val="19"/>
                <w:color w:val="auto"/>
              </w:rPr>
            </w:pPr>
          </w:p>
        </w:tc>
      </w:tr>
      <w:tr>
        <w:trPr>
          <w:trHeight w:val="229"/>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8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r>
      <w:tr>
        <w:trPr>
          <w:trHeight w:val="263"/>
        </w:trPr>
        <w:tc>
          <w:tcPr>
            <w:tcW w:w="69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8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135,745</w:t>
            </w:r>
          </w:p>
        </w:tc>
        <w:tc>
          <w:tcPr>
            <w:tcW w:w="30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143,840</w:t>
            </w:r>
          </w:p>
        </w:tc>
        <w:tc>
          <w:tcPr>
            <w:tcW w:w="120" w:type="dxa"/>
            <w:vAlign w:val="bottom"/>
            <w:tcBorders>
              <w:bottom w:val="single" w:sz="8" w:color="CFF0FC"/>
            </w:tcBorders>
          </w:tcPr>
          <w:p>
            <w:pPr>
              <w:spacing w:after="0"/>
              <w:rPr>
                <w:sz w:val="22"/>
                <w:szCs w:val="22"/>
                <w:color w:val="auto"/>
              </w:rPr>
            </w:pPr>
          </w:p>
        </w:tc>
      </w:tr>
      <w:tr>
        <w:trPr>
          <w:trHeight w:val="210"/>
        </w:trPr>
        <w:tc>
          <w:tcPr>
            <w:tcW w:w="6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6900" w:type="dxa"/>
            <w:vAlign w:val="bottom"/>
          </w:tcPr>
          <w:p>
            <w:pPr>
              <w:spacing w:after="0"/>
              <w:rPr>
                <w:sz w:val="20"/>
                <w:szCs w:val="20"/>
                <w:color w:val="auto"/>
              </w:rPr>
            </w:pPr>
            <w:r>
              <w:rPr>
                <w:rFonts w:ascii="Arial" w:cs="Arial" w:eastAsia="Arial" w:hAnsi="Arial"/>
                <w:sz w:val="18"/>
                <w:szCs w:val="18"/>
                <w:color w:val="auto"/>
              </w:rPr>
              <w:t>Current liabilities:</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108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1,563</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1,995</w:t>
            </w:r>
          </w:p>
        </w:tc>
        <w:tc>
          <w:tcPr>
            <w:tcW w:w="120" w:type="dxa"/>
            <w:vAlign w:val="bottom"/>
            <w:shd w:val="clear" w:color="auto" w:fill="CFF0FC"/>
          </w:tcPr>
          <w:p>
            <w:pPr>
              <w:spacing w:after="0"/>
              <w:rPr>
                <w:sz w:val="19"/>
                <w:szCs w:val="19"/>
                <w:color w:val="auto"/>
              </w:rPr>
            </w:pPr>
          </w:p>
        </w:tc>
      </w:tr>
      <w:tr>
        <w:trPr>
          <w:trHeight w:val="230"/>
        </w:trPr>
        <w:tc>
          <w:tcPr>
            <w:tcW w:w="6900" w:type="dxa"/>
            <w:vAlign w:val="bottom"/>
          </w:tcPr>
          <w:p>
            <w:pPr>
              <w:ind w:left="260"/>
              <w:spacing w:after="0"/>
              <w:rPr>
                <w:sz w:val="20"/>
                <w:szCs w:val="20"/>
                <w:color w:val="auto"/>
              </w:rPr>
            </w:pPr>
            <w:r>
              <w:rPr>
                <w:rFonts w:ascii="Arial" w:cs="Arial" w:eastAsia="Arial" w:hAnsi="Arial"/>
                <w:sz w:val="18"/>
                <w:szCs w:val="18"/>
                <w:color w:val="auto"/>
              </w:rPr>
              <w:t>Accrued expenses</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2,802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3,773</w:t>
            </w:r>
          </w:p>
        </w:tc>
        <w:tc>
          <w:tcPr>
            <w:tcW w:w="120" w:type="dxa"/>
            <w:vAlign w:val="bottom"/>
          </w:tcPr>
          <w:p>
            <w:pPr>
              <w:spacing w:after="0"/>
              <w:rPr>
                <w:sz w:val="19"/>
                <w:szCs w:val="19"/>
                <w:color w:val="auto"/>
              </w:rPr>
            </w:pPr>
          </w:p>
        </w:tc>
      </w:tr>
      <w:tr>
        <w:trPr>
          <w:trHeight w:val="229"/>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Lease liability - operating lease</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2,531</w:t>
            </w:r>
          </w:p>
        </w:tc>
        <w:tc>
          <w:tcPr>
            <w:tcW w:w="120" w:type="dxa"/>
            <w:vAlign w:val="bottom"/>
            <w:shd w:val="clear" w:color="auto" w:fill="CFF0FC"/>
          </w:tcPr>
          <w:p>
            <w:pPr>
              <w:spacing w:after="0"/>
              <w:rPr>
                <w:sz w:val="19"/>
                <w:szCs w:val="19"/>
                <w:color w:val="auto"/>
              </w:rPr>
            </w:pPr>
          </w:p>
        </w:tc>
      </w:tr>
      <w:tr>
        <w:trPr>
          <w:trHeight w:val="229"/>
        </w:trPr>
        <w:tc>
          <w:tcPr>
            <w:tcW w:w="69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Finance lease obligations</w:t>
            </w:r>
          </w:p>
        </w:tc>
        <w:tc>
          <w:tcPr>
            <w:tcW w:w="8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tcPr>
          <w:p>
            <w:pPr>
              <w:spacing w:after="0"/>
              <w:rPr>
                <w:sz w:val="19"/>
                <w:szCs w:val="19"/>
                <w:color w:val="auto"/>
              </w:rPr>
            </w:pPr>
          </w:p>
        </w:tc>
      </w:tr>
      <w:tr>
        <w:trPr>
          <w:trHeight w:val="223"/>
        </w:trPr>
        <w:tc>
          <w:tcPr>
            <w:tcW w:w="6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8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6,986</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8,301</w:t>
            </w:r>
          </w:p>
        </w:tc>
        <w:tc>
          <w:tcPr>
            <w:tcW w:w="120" w:type="dxa"/>
            <w:vAlign w:val="bottom"/>
            <w:shd w:val="clear" w:color="auto" w:fill="CFF0FC"/>
          </w:tcPr>
          <w:p>
            <w:pPr>
              <w:spacing w:after="0"/>
              <w:rPr>
                <w:sz w:val="19"/>
                <w:szCs w:val="19"/>
                <w:color w:val="auto"/>
              </w:rPr>
            </w:pPr>
          </w:p>
        </w:tc>
      </w:tr>
      <w:tr>
        <w:trPr>
          <w:trHeight w:val="223"/>
        </w:trPr>
        <w:tc>
          <w:tcPr>
            <w:tcW w:w="6900" w:type="dxa"/>
            <w:vAlign w:val="bottom"/>
          </w:tcPr>
          <w:p>
            <w:pPr>
              <w:spacing w:after="0"/>
              <w:rPr>
                <w:sz w:val="20"/>
                <w:szCs w:val="20"/>
                <w:color w:val="auto"/>
              </w:rPr>
            </w:pPr>
            <w:r>
              <w:rPr>
                <w:rFonts w:ascii="Arial" w:cs="Arial" w:eastAsia="Arial" w:hAnsi="Arial"/>
                <w:sz w:val="18"/>
                <w:szCs w:val="18"/>
                <w:color w:val="auto"/>
              </w:rPr>
              <w:t>Long-term liabilities:</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Lease liability - operating lease, net of current portion</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19,578</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20,273</w:t>
            </w:r>
          </w:p>
        </w:tc>
        <w:tc>
          <w:tcPr>
            <w:tcW w:w="120" w:type="dxa"/>
            <w:vAlign w:val="bottom"/>
            <w:shd w:val="clear" w:color="auto" w:fill="CFF0FC"/>
          </w:tcPr>
          <w:p>
            <w:pPr>
              <w:spacing w:after="0"/>
              <w:rPr>
                <w:sz w:val="19"/>
                <w:szCs w:val="19"/>
                <w:color w:val="auto"/>
              </w:rPr>
            </w:pPr>
          </w:p>
        </w:tc>
      </w:tr>
      <w:tr>
        <w:trPr>
          <w:trHeight w:val="230"/>
        </w:trPr>
        <w:tc>
          <w:tcPr>
            <w:tcW w:w="69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long-term liabilities</w:t>
            </w:r>
          </w:p>
        </w:tc>
        <w:tc>
          <w:tcPr>
            <w:tcW w:w="8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FF0FC"/>
            </w:tcBorders>
          </w:tcPr>
          <w:p>
            <w:pPr>
              <w:spacing w:after="0"/>
              <w:rPr>
                <w:sz w:val="19"/>
                <w:szCs w:val="19"/>
                <w:color w:val="auto"/>
              </w:rPr>
            </w:pPr>
          </w:p>
        </w:tc>
      </w:tr>
      <w:tr>
        <w:trPr>
          <w:trHeight w:val="223"/>
        </w:trPr>
        <w:tc>
          <w:tcPr>
            <w:tcW w:w="6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long-term liabilities</w:t>
            </w:r>
          </w:p>
        </w:tc>
        <w:tc>
          <w:tcPr>
            <w:tcW w:w="8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19,709</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20,404</w:t>
            </w:r>
          </w:p>
        </w:tc>
        <w:tc>
          <w:tcPr>
            <w:tcW w:w="120" w:type="dxa"/>
            <w:vAlign w:val="bottom"/>
            <w:shd w:val="clear" w:color="auto" w:fill="CFF0FC"/>
          </w:tcPr>
          <w:p>
            <w:pPr>
              <w:spacing w:after="0"/>
              <w:rPr>
                <w:sz w:val="19"/>
                <w:szCs w:val="19"/>
                <w:color w:val="auto"/>
              </w:rPr>
            </w:pPr>
          </w:p>
        </w:tc>
      </w:tr>
      <w:tr>
        <w:trPr>
          <w:trHeight w:val="223"/>
        </w:trPr>
        <w:tc>
          <w:tcPr>
            <w:tcW w:w="6900" w:type="dxa"/>
            <w:vAlign w:val="bottom"/>
          </w:tcPr>
          <w:p>
            <w:pPr>
              <w:spacing w:after="0"/>
              <w:rPr>
                <w:sz w:val="20"/>
                <w:szCs w:val="20"/>
                <w:color w:val="auto"/>
              </w:rPr>
            </w:pPr>
            <w:r>
              <w:rPr>
                <w:rFonts w:ascii="Arial" w:cs="Arial" w:eastAsia="Arial" w:hAnsi="Arial"/>
                <w:sz w:val="18"/>
                <w:szCs w:val="18"/>
                <w:color w:val="auto"/>
              </w:rPr>
              <w:t>Commitments and contingencies (Note 11)</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00" w:type="dxa"/>
            <w:vAlign w:val="bottom"/>
          </w:tcPr>
          <w:p>
            <w:pPr>
              <w:ind w:left="260"/>
              <w:spacing w:after="0"/>
              <w:rPr>
                <w:sz w:val="20"/>
                <w:szCs w:val="20"/>
                <w:color w:val="auto"/>
              </w:rPr>
            </w:pPr>
            <w:r>
              <w:rPr>
                <w:rFonts w:ascii="Arial" w:cs="Arial" w:eastAsia="Arial" w:hAnsi="Arial"/>
                <w:sz w:val="18"/>
                <w:szCs w:val="18"/>
                <w:color w:val="auto"/>
              </w:rPr>
              <w:t>Common stock, $0.001 par value</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6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250,000,000 shares authorized as of March 31, 2021 and December 31, 2020.</w:t>
            </w: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9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40,873,526 shares issued and outstanding as of March 31, 2021 and</w:t>
            </w: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9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38,183,273 shares issued and outstanding as of December 31, 2020.</w:t>
            </w:r>
          </w:p>
        </w:tc>
        <w:tc>
          <w:tcPr>
            <w:tcW w:w="8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FF0FC"/>
          </w:tcPr>
          <w:p>
            <w:pPr>
              <w:spacing w:after="0"/>
              <w:rPr>
                <w:sz w:val="20"/>
                <w:szCs w:val="20"/>
                <w:color w:val="auto"/>
              </w:rPr>
            </w:pPr>
          </w:p>
        </w:tc>
      </w:tr>
      <w:tr>
        <w:trPr>
          <w:trHeight w:val="230"/>
        </w:trPr>
        <w:tc>
          <w:tcPr>
            <w:tcW w:w="690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354,286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345,394</w:t>
            </w:r>
          </w:p>
        </w:tc>
        <w:tc>
          <w:tcPr>
            <w:tcW w:w="120" w:type="dxa"/>
            <w:vAlign w:val="bottom"/>
          </w:tcPr>
          <w:p>
            <w:pPr>
              <w:spacing w:after="0"/>
              <w:rPr>
                <w:sz w:val="19"/>
                <w:szCs w:val="19"/>
                <w:color w:val="auto"/>
              </w:rPr>
            </w:pPr>
          </w:p>
        </w:tc>
      </w:tr>
      <w:tr>
        <w:trPr>
          <w:trHeight w:val="230"/>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9"/>
                <w:szCs w:val="19"/>
                <w:color w:val="auto"/>
              </w:rPr>
            </w:pPr>
          </w:p>
        </w:tc>
      </w:tr>
      <w:tr>
        <w:trPr>
          <w:trHeight w:val="229"/>
        </w:trPr>
        <w:tc>
          <w:tcPr>
            <w:tcW w:w="690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(245,282)</w:t>
            </w:r>
          </w:p>
        </w:tc>
        <w:tc>
          <w:tcPr>
            <w:tcW w:w="2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(230,311)</w:t>
            </w:r>
          </w:p>
        </w:tc>
      </w:tr>
      <w:tr>
        <w:trPr>
          <w:trHeight w:val="223"/>
        </w:trPr>
        <w:tc>
          <w:tcPr>
            <w:tcW w:w="69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8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109,050</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115,135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90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82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135,745</w:t>
            </w:r>
          </w:p>
        </w:tc>
        <w:tc>
          <w:tcPr>
            <w:tcW w:w="3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143,840</w:t>
            </w:r>
          </w:p>
        </w:tc>
        <w:tc>
          <w:tcPr>
            <w:tcW w:w="120" w:type="dxa"/>
            <w:vAlign w:val="bottom"/>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Operations and Comprehensive Loss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34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55"/>
        </w:trPr>
        <w:tc>
          <w:tcPr>
            <w:tcW w:w="77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rPr>
              <w:t>March 31, 2021</w:t>
            </w: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March 31, 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11,180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15,031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(15,031)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(16,398)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tcPr>
          <w:p>
            <w:pPr>
              <w:ind w:left="500"/>
              <w:spacing w:after="0"/>
              <w:rPr>
                <w:sz w:val="20"/>
                <w:szCs w:val="20"/>
                <w:color w:val="auto"/>
              </w:rPr>
            </w:pPr>
            <w:r>
              <w:rPr>
                <w:rFonts w:ascii="Arial" w:cs="Arial" w:eastAsia="Arial" w:hAnsi="Arial"/>
                <w:sz w:val="18"/>
                <w:szCs w:val="18"/>
                <w:color w:val="auto"/>
              </w:rPr>
              <w:t>Interest and investment income</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7700" w:type="dxa"/>
            <w:vAlign w:val="bottom"/>
          </w:tcPr>
          <w:p>
            <w:pPr>
              <w:ind w:left="500"/>
              <w:spacing w:after="0"/>
              <w:rPr>
                <w:sz w:val="20"/>
                <w:szCs w:val="20"/>
                <w:color w:val="auto"/>
              </w:rPr>
            </w:pPr>
            <w:r>
              <w:rPr>
                <w:rFonts w:ascii="Arial" w:cs="Arial" w:eastAsia="Arial" w:hAnsi="Arial"/>
                <w:sz w:val="18"/>
                <w:szCs w:val="18"/>
                <w:color w:val="auto"/>
              </w:rPr>
              <w:t>Other expense</w:t>
            </w:r>
          </w:p>
        </w:tc>
        <w:tc>
          <w:tcPr>
            <w:tcW w:w="20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(14,971)</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(15,828)</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7700" w:type="dxa"/>
            <w:vAlign w:val="bottom"/>
          </w:tcPr>
          <w:p>
            <w:pPr>
              <w:spacing w:after="0"/>
              <w:rPr>
                <w:sz w:val="20"/>
                <w:szCs w:val="20"/>
                <w:color w:val="auto"/>
              </w:rPr>
            </w:pPr>
            <w:r>
              <w:rPr>
                <w:rFonts w:ascii="Arial" w:cs="Arial" w:eastAsia="Arial" w:hAnsi="Arial"/>
                <w:sz w:val="18"/>
                <w:szCs w:val="18"/>
                <w:color w:val="auto"/>
              </w:rPr>
              <w:t>Net loss per share - basic and diluted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(0.36)</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10"/>
        </w:trPr>
        <w:tc>
          <w:tcPr>
            <w:tcW w:w="77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Weighted-average common stock outstanding - basic and diluted</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41,545,050</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34,233,688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color w:val="auto"/>
              </w:rPr>
              <w:t>Comprehensive loss:</w:t>
            </w: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(14,971)</w:t>
            </w:r>
          </w:p>
        </w:tc>
        <w:tc>
          <w:tcPr>
            <w:tcW w:w="3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(15,828)</w:t>
            </w:r>
          </w:p>
        </w:tc>
        <w:tc>
          <w:tcPr>
            <w:tcW w:w="0" w:type="dxa"/>
            <w:vAlign w:val="bottom"/>
          </w:tcPr>
          <w:p>
            <w:pPr>
              <w:spacing w:after="0"/>
              <w:rPr>
                <w:sz w:val="1"/>
                <w:szCs w:val="1"/>
                <w:color w:val="auto"/>
              </w:rPr>
            </w:pPr>
          </w:p>
        </w:tc>
      </w:tr>
      <w:tr>
        <w:trPr>
          <w:trHeight w:val="229"/>
        </w:trPr>
        <w:tc>
          <w:tcPr>
            <w:tcW w:w="7700" w:type="dxa"/>
            <w:vAlign w:val="bottom"/>
          </w:tcPr>
          <w:p>
            <w:pPr>
              <w:spacing w:after="0"/>
              <w:rPr>
                <w:sz w:val="20"/>
                <w:szCs w:val="20"/>
                <w:color w:val="auto"/>
              </w:rPr>
            </w:pPr>
            <w:r>
              <w:rPr>
                <w:rFonts w:ascii="Arial" w:cs="Arial" w:eastAsia="Arial" w:hAnsi="Arial"/>
                <w:sz w:val="18"/>
                <w:szCs w:val="18"/>
                <w:color w:val="auto"/>
              </w:rPr>
              <w:t>Net unrealized (loss) gain on marketable securities</w:t>
            </w:r>
          </w:p>
        </w:tc>
        <w:tc>
          <w:tcPr>
            <w:tcW w:w="20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77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Comprehensive loss</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(14,980)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(15,883)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Stockholders’ Equity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2060" w:type="dxa"/>
            <w:vAlign w:val="bottom"/>
            <w:gridSpan w:val="3"/>
            <w:vMerge w:val="restart"/>
          </w:tcPr>
          <w:p>
            <w:pPr>
              <w:jc w:val="right"/>
              <w:ind w:right="388"/>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0" w:type="dxa"/>
            <w:vAlign w:val="bottom"/>
          </w:tcPr>
          <w:p>
            <w:pPr>
              <w:spacing w:after="0"/>
              <w:rPr>
                <w:sz w:val="14"/>
                <w:szCs w:val="14"/>
                <w:color w:val="auto"/>
              </w:rPr>
            </w:pPr>
          </w:p>
        </w:tc>
        <w:tc>
          <w:tcPr>
            <w:tcW w:w="206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other</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206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$0.001 par value</w:t>
            </w:r>
          </w:p>
        </w:tc>
        <w:tc>
          <w:tcPr>
            <w:tcW w:w="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188"/>
              <w:spacing w:after="0"/>
              <w:rPr>
                <w:sz w:val="20"/>
                <w:szCs w:val="20"/>
                <w:color w:val="auto"/>
              </w:rPr>
            </w:pPr>
            <w:r>
              <w:rPr>
                <w:rFonts w:ascii="Arial" w:cs="Arial" w:eastAsia="Arial" w:hAnsi="Arial"/>
                <w:sz w:val="14"/>
                <w:szCs w:val="14"/>
                <w:b w:val="1"/>
                <w:bCs w:val="1"/>
                <w:color w:val="auto"/>
                <w:w w:val="95"/>
              </w:rPr>
              <w:t>paid-in</w:t>
            </w:r>
          </w:p>
        </w:tc>
        <w:tc>
          <w:tcPr>
            <w:tcW w:w="120" w:type="dxa"/>
            <w:vAlign w:val="bottom"/>
          </w:tcPr>
          <w:p>
            <w:pPr>
              <w:spacing w:after="0"/>
              <w:rPr>
                <w:sz w:val="14"/>
                <w:szCs w:val="14"/>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3800" w:type="dxa"/>
            <w:vAlign w:val="bottom"/>
          </w:tcPr>
          <w:p>
            <w:pPr>
              <w:spacing w:after="0"/>
              <w:rPr>
                <w:sz w:val="13"/>
                <w:szCs w:val="13"/>
                <w:color w:val="auto"/>
              </w:rPr>
            </w:pPr>
          </w:p>
        </w:tc>
        <w:tc>
          <w:tcPr>
            <w:tcW w:w="1140" w:type="dxa"/>
            <w:vAlign w:val="bottom"/>
          </w:tcPr>
          <w:p>
            <w:pPr>
              <w:jc w:val="right"/>
              <w:ind w:right="348"/>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ind w:right="168"/>
              <w:spacing w:after="0" w:line="155" w:lineRule="exact"/>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88"/>
              </w:rPr>
              <w:t>income (loss)</w:t>
            </w:r>
          </w:p>
        </w:tc>
        <w:tc>
          <w:tcPr>
            <w:tcW w:w="100" w:type="dxa"/>
            <w:vAlign w:val="bottom"/>
          </w:tcPr>
          <w:p>
            <w:pPr>
              <w:spacing w:after="0"/>
              <w:rPr>
                <w:sz w:val="13"/>
                <w:szCs w:val="13"/>
                <w:color w:val="auto"/>
              </w:rPr>
            </w:pPr>
          </w:p>
        </w:tc>
        <w:tc>
          <w:tcPr>
            <w:tcW w:w="1040" w:type="dxa"/>
            <w:vAlign w:val="bottom"/>
          </w:tcPr>
          <w:p>
            <w:pPr>
              <w:jc w:val="right"/>
              <w:ind w:right="368"/>
              <w:spacing w:after="0" w:line="155" w:lineRule="exact"/>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ind w:right="388"/>
              <w:spacing w:after="0" w:line="155"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56"/>
        </w:trPr>
        <w:tc>
          <w:tcPr>
            <w:tcW w:w="380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December 31, 2020</w:t>
            </w:r>
          </w:p>
        </w:tc>
        <w:tc>
          <w:tcPr>
            <w:tcW w:w="114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38,183,273</w:t>
            </w:r>
          </w:p>
        </w:tc>
        <w:tc>
          <w:tcPr>
            <w:tcW w:w="100" w:type="dxa"/>
            <w:vAlign w:val="bottom"/>
            <w:tcBorders>
              <w:top w:val="single" w:sz="8" w:color="CFF0FC"/>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jc w:val="right"/>
              <w:ind w:right="668"/>
              <w:spacing w:after="0" w:line="155" w:lineRule="exact"/>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38</w:t>
            </w: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345,394</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14</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(230,311)</w:t>
            </w:r>
          </w:p>
        </w:tc>
        <w:tc>
          <w:tcPr>
            <w:tcW w:w="12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115,135</w:t>
            </w:r>
          </w:p>
        </w:tc>
        <w:tc>
          <w:tcPr>
            <w:tcW w:w="0" w:type="dxa"/>
            <w:vAlign w:val="bottom"/>
          </w:tcPr>
          <w:p>
            <w:pPr>
              <w:spacing w:after="0"/>
              <w:rPr>
                <w:sz w:val="1"/>
                <w:szCs w:val="1"/>
                <w:color w:val="auto"/>
              </w:rPr>
            </w:pPr>
          </w:p>
        </w:tc>
      </w:tr>
      <w:tr>
        <w:trPr>
          <w:trHeight w:val="143"/>
        </w:trPr>
        <w:tc>
          <w:tcPr>
            <w:tcW w:w="3800" w:type="dxa"/>
            <w:vAlign w:val="bottom"/>
          </w:tcPr>
          <w:p>
            <w:pPr>
              <w:spacing w:after="0" w:line="143" w:lineRule="exact"/>
              <w:rPr>
                <w:sz w:val="20"/>
                <w:szCs w:val="20"/>
                <w:color w:val="auto"/>
              </w:rPr>
            </w:pPr>
            <w:r>
              <w:rPr>
                <w:rFonts w:ascii="Arial" w:cs="Arial" w:eastAsia="Arial" w:hAnsi="Arial"/>
                <w:sz w:val="14"/>
                <w:szCs w:val="14"/>
                <w:color w:val="auto"/>
              </w:rPr>
              <w:t>Proceeds from issuance of common stock in connection with</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tcPr>
          <w:p>
            <w:pPr>
              <w:spacing w:after="0" w:line="149" w:lineRule="exact"/>
              <w:rPr>
                <w:sz w:val="20"/>
                <w:szCs w:val="20"/>
                <w:color w:val="auto"/>
              </w:rPr>
            </w:pPr>
            <w:r>
              <w:rPr>
                <w:rFonts w:ascii="Arial" w:cs="Arial" w:eastAsia="Arial" w:hAnsi="Arial"/>
                <w:sz w:val="14"/>
                <w:szCs w:val="14"/>
                <w:color w:val="auto"/>
              </w:rPr>
              <w:t>at-the-</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800" w:type="dxa"/>
            <w:vAlign w:val="bottom"/>
          </w:tcPr>
          <w:p>
            <w:pPr>
              <w:ind w:left="120"/>
              <w:spacing w:after="0"/>
              <w:rPr>
                <w:sz w:val="20"/>
                <w:szCs w:val="20"/>
                <w:color w:val="auto"/>
              </w:rPr>
            </w:pPr>
            <w:r>
              <w:rPr>
                <w:rFonts w:ascii="Arial" w:cs="Arial" w:eastAsia="Arial" w:hAnsi="Arial"/>
                <w:sz w:val="14"/>
                <w:szCs w:val="14"/>
                <w:color w:val="auto"/>
              </w:rPr>
              <w:t>market offering, net of issuance costs</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2,447,211</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8,047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8,050</w:t>
            </w:r>
          </w:p>
        </w:tc>
        <w:tc>
          <w:tcPr>
            <w:tcW w:w="0" w:type="dxa"/>
            <w:vAlign w:val="bottom"/>
          </w:tcPr>
          <w:p>
            <w:pPr>
              <w:spacing w:after="0"/>
              <w:rPr>
                <w:sz w:val="1"/>
                <w:szCs w:val="1"/>
                <w:color w:val="auto"/>
              </w:rPr>
            </w:pPr>
          </w:p>
        </w:tc>
      </w:tr>
      <w:tr>
        <w:trPr>
          <w:trHeight w:val="162"/>
        </w:trPr>
        <w:tc>
          <w:tcPr>
            <w:tcW w:w="3800" w:type="dxa"/>
            <w:vAlign w:val="bottom"/>
            <w:shd w:val="clear" w:color="auto" w:fill="CFF0FC"/>
          </w:tcPr>
          <w:p>
            <w:pPr>
              <w:spacing w:after="0"/>
              <w:rPr>
                <w:sz w:val="20"/>
                <w:szCs w:val="20"/>
                <w:color w:val="auto"/>
              </w:rPr>
            </w:pPr>
            <w:r>
              <w:rPr>
                <w:rFonts w:ascii="Arial" w:cs="Arial" w:eastAsia="Arial" w:hAnsi="Arial"/>
                <w:sz w:val="14"/>
                <w:szCs w:val="14"/>
                <w:color w:val="auto"/>
              </w:rPr>
              <w:t>Exercise of options</w:t>
            </w: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216</w:t>
            </w: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800" w:type="dxa"/>
            <w:vAlign w:val="bottom"/>
          </w:tcPr>
          <w:p>
            <w:pPr>
              <w:spacing w:after="0"/>
              <w:rPr>
                <w:sz w:val="20"/>
                <w:szCs w:val="20"/>
                <w:color w:val="auto"/>
              </w:rPr>
            </w:pPr>
            <w:r>
              <w:rPr>
                <w:rFonts w:ascii="Arial" w:cs="Arial" w:eastAsia="Arial" w:hAnsi="Arial"/>
                <w:sz w:val="14"/>
                <w:szCs w:val="14"/>
                <w:color w:val="auto"/>
              </w:rPr>
              <w:t>Issuance of restricted stock</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242,454</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800" w:type="dxa"/>
            <w:vAlign w:val="bottom"/>
            <w:shd w:val="clear" w:color="auto" w:fill="CFF0FC"/>
          </w:tcPr>
          <w:p>
            <w:pPr>
              <w:spacing w:after="0"/>
              <w:rPr>
                <w:sz w:val="20"/>
                <w:szCs w:val="20"/>
                <w:color w:val="auto"/>
              </w:rPr>
            </w:pPr>
            <w:r>
              <w:rPr>
                <w:rFonts w:ascii="Arial" w:cs="Arial" w:eastAsia="Arial" w:hAnsi="Arial"/>
                <w:sz w:val="14"/>
                <w:szCs w:val="14"/>
                <w:color w:val="auto"/>
                <w:w w:val="94"/>
              </w:rPr>
              <w:t>Issuance of common stock under employee stock purchase plan</w:t>
            </w: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19,061</w:t>
            </w: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3"/>
        </w:trPr>
        <w:tc>
          <w:tcPr>
            <w:tcW w:w="3800" w:type="dxa"/>
            <w:vAlign w:val="bottom"/>
          </w:tcPr>
          <w:p>
            <w:pPr>
              <w:spacing w:after="0" w:line="143" w:lineRule="exact"/>
              <w:rPr>
                <w:sz w:val="20"/>
                <w:szCs w:val="20"/>
                <w:color w:val="auto"/>
              </w:rPr>
            </w:pPr>
            <w:r>
              <w:rPr>
                <w:rFonts w:ascii="Arial" w:cs="Arial" w:eastAsia="Arial" w:hAnsi="Arial"/>
                <w:sz w:val="14"/>
                <w:szCs w:val="14"/>
                <w:color w:val="auto"/>
              </w:rPr>
              <w:t>Restricted stock awards withheld for payment of employees'</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800" w:type="dxa"/>
            <w:vAlign w:val="bottom"/>
          </w:tcPr>
          <w:p>
            <w:pPr>
              <w:ind w:left="120"/>
              <w:spacing w:after="0"/>
              <w:rPr>
                <w:sz w:val="20"/>
                <w:szCs w:val="20"/>
                <w:color w:val="auto"/>
              </w:rPr>
            </w:pPr>
            <w:r>
              <w:rPr>
                <w:rFonts w:ascii="Arial" w:cs="Arial" w:eastAsia="Arial" w:hAnsi="Arial"/>
                <w:sz w:val="14"/>
                <w:szCs w:val="14"/>
                <w:color w:val="auto"/>
              </w:rPr>
              <w:t>withholding tax liability</w:t>
            </w:r>
          </w:p>
        </w:tc>
        <w:tc>
          <w:tcPr>
            <w:tcW w:w="1140" w:type="dxa"/>
            <w:vAlign w:val="bottom"/>
          </w:tcPr>
          <w:p>
            <w:pPr>
              <w:jc w:val="right"/>
              <w:spacing w:after="0"/>
              <w:rPr>
                <w:sz w:val="20"/>
                <w:szCs w:val="20"/>
                <w:color w:val="auto"/>
              </w:rPr>
            </w:pPr>
            <w:r>
              <w:rPr>
                <w:rFonts w:ascii="Arial" w:cs="Arial" w:eastAsia="Arial" w:hAnsi="Arial"/>
                <w:sz w:val="14"/>
                <w:szCs w:val="14"/>
                <w:color w:val="auto"/>
              </w:rPr>
              <w:t>(15,970)</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62"/>
        </w:trPr>
        <w:tc>
          <w:tcPr>
            <w:tcW w:w="3800" w:type="dxa"/>
            <w:vAlign w:val="bottom"/>
            <w:shd w:val="clear" w:color="auto" w:fill="CFF0FC"/>
          </w:tcPr>
          <w:p>
            <w:pPr>
              <w:spacing w:after="0"/>
              <w:rPr>
                <w:sz w:val="20"/>
                <w:szCs w:val="20"/>
                <w:color w:val="auto"/>
              </w:rPr>
            </w:pPr>
            <w:r>
              <w:rPr>
                <w:rFonts w:ascii="Arial" w:cs="Arial" w:eastAsia="Arial" w:hAnsi="Arial"/>
                <w:sz w:val="14"/>
                <w:szCs w:val="14"/>
                <w:color w:val="auto"/>
              </w:rPr>
              <w:t>Cancellation of restricted stock</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(2,719)</w:t>
            </w: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800" w:type="dxa"/>
            <w:vAlign w:val="bottom"/>
          </w:tcPr>
          <w:p>
            <w:pPr>
              <w:spacing w:after="0"/>
              <w:rPr>
                <w:sz w:val="20"/>
                <w:szCs w:val="20"/>
                <w:color w:val="auto"/>
              </w:rPr>
            </w:pPr>
            <w:r>
              <w:rPr>
                <w:rFonts w:ascii="Arial" w:cs="Arial" w:eastAsia="Arial" w:hAnsi="Arial"/>
                <w:sz w:val="14"/>
                <w:szCs w:val="14"/>
                <w:color w:val="auto"/>
              </w:rPr>
              <w:t>Equity-based compensation expense</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877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877</w:t>
            </w:r>
          </w:p>
        </w:tc>
        <w:tc>
          <w:tcPr>
            <w:tcW w:w="0" w:type="dxa"/>
            <w:vAlign w:val="bottom"/>
          </w:tcPr>
          <w:p>
            <w:pPr>
              <w:spacing w:after="0"/>
              <w:rPr>
                <w:sz w:val="1"/>
                <w:szCs w:val="1"/>
                <w:color w:val="auto"/>
              </w:rPr>
            </w:pPr>
          </w:p>
        </w:tc>
      </w:tr>
      <w:tr>
        <w:trPr>
          <w:trHeight w:val="162"/>
        </w:trPr>
        <w:tc>
          <w:tcPr>
            <w:tcW w:w="3800" w:type="dxa"/>
            <w:vAlign w:val="bottom"/>
            <w:shd w:val="clear" w:color="auto" w:fill="CFF0FC"/>
          </w:tcPr>
          <w:p>
            <w:pPr>
              <w:spacing w:after="0"/>
              <w:rPr>
                <w:sz w:val="20"/>
                <w:szCs w:val="20"/>
                <w:color w:val="auto"/>
              </w:rPr>
            </w:pPr>
            <w:r>
              <w:rPr>
                <w:rFonts w:ascii="Arial" w:cs="Arial" w:eastAsia="Arial" w:hAnsi="Arial"/>
                <w:sz w:val="14"/>
                <w:szCs w:val="14"/>
                <w:color w:val="auto"/>
              </w:rPr>
              <w:t>Unrealized gain (loss) on securities</w:t>
            </w: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62"/>
        </w:trPr>
        <w:tc>
          <w:tcPr>
            <w:tcW w:w="3800" w:type="dxa"/>
            <w:vAlign w:val="bottom"/>
          </w:tcPr>
          <w:p>
            <w:pPr>
              <w:spacing w:after="0"/>
              <w:rPr>
                <w:sz w:val="20"/>
                <w:szCs w:val="20"/>
                <w:color w:val="auto"/>
              </w:rPr>
            </w:pPr>
            <w:r>
              <w:rPr>
                <w:rFonts w:ascii="Arial" w:cs="Arial" w:eastAsia="Arial" w:hAnsi="Arial"/>
                <w:sz w:val="14"/>
                <w:szCs w:val="14"/>
                <w:color w:val="auto"/>
              </w:rPr>
              <w:t>Net loss</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(14,971)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(14,971)</w:t>
            </w:r>
          </w:p>
        </w:tc>
        <w:tc>
          <w:tcPr>
            <w:tcW w:w="0" w:type="dxa"/>
            <w:vAlign w:val="bottom"/>
          </w:tcPr>
          <w:p>
            <w:pPr>
              <w:spacing w:after="0"/>
              <w:rPr>
                <w:sz w:val="1"/>
                <w:szCs w:val="1"/>
                <w:color w:val="auto"/>
              </w:rPr>
            </w:pPr>
          </w:p>
        </w:tc>
      </w:tr>
      <w:tr>
        <w:trPr>
          <w:trHeight w:val="155"/>
        </w:trPr>
        <w:tc>
          <w:tcPr>
            <w:tcW w:w="380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March 31, 2021</w:t>
            </w:r>
          </w:p>
        </w:tc>
        <w:tc>
          <w:tcPr>
            <w:tcW w:w="114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40,873,526</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820" w:type="dxa"/>
            <w:vAlign w:val="bottom"/>
            <w:tcBorders>
              <w:top w:val="single" w:sz="8" w:color="auto"/>
              <w:bottom w:val="single" w:sz="8" w:color="auto"/>
            </w:tcBorders>
            <w:shd w:val="clear" w:color="auto" w:fill="CFF0FC"/>
          </w:tcPr>
          <w:p>
            <w:pPr>
              <w:jc w:val="right"/>
              <w:ind w:right="668"/>
              <w:spacing w:after="0" w:line="155" w:lineRule="exact"/>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41</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354,286</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5</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(245,282)</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109,050</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800" w:type="dxa"/>
            <w:vAlign w:val="bottom"/>
            <w:shd w:val="clear" w:color="auto" w:fill="CFF0FC"/>
          </w:tcPr>
          <w:p>
            <w:pPr>
              <w:spacing w:after="0"/>
              <w:rPr>
                <w:sz w:val="20"/>
                <w:szCs w:val="20"/>
                <w:color w:val="auto"/>
              </w:rPr>
            </w:pPr>
            <w:r>
              <w:rPr>
                <w:rFonts w:ascii="Arial" w:cs="Arial" w:eastAsia="Arial" w:hAnsi="Arial"/>
                <w:sz w:val="14"/>
                <w:szCs w:val="14"/>
                <w:color w:val="auto"/>
              </w:rPr>
              <w:t>Balance at December 31, 2019</w:t>
            </w: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32,266,814</w:t>
            </w:r>
          </w:p>
        </w:tc>
        <w:tc>
          <w:tcPr>
            <w:tcW w:w="920" w:type="dxa"/>
            <w:vAlign w:val="bottom"/>
            <w:gridSpan w:val="2"/>
            <w:shd w:val="clear" w:color="auto" w:fill="CFF0FC"/>
          </w:tcPr>
          <w:p>
            <w:pPr>
              <w:jc w:val="right"/>
              <w:ind w:right="668"/>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327,900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(171,138)</w:t>
            </w:r>
          </w:p>
        </w:tc>
        <w:tc>
          <w:tcPr>
            <w:tcW w:w="32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156,905</w:t>
            </w:r>
          </w:p>
        </w:tc>
        <w:tc>
          <w:tcPr>
            <w:tcW w:w="0" w:type="dxa"/>
            <w:vAlign w:val="bottom"/>
          </w:tcPr>
          <w:p>
            <w:pPr>
              <w:spacing w:after="0"/>
              <w:rPr>
                <w:sz w:val="1"/>
                <w:szCs w:val="1"/>
                <w:color w:val="auto"/>
              </w:rPr>
            </w:pPr>
          </w:p>
        </w:tc>
      </w:tr>
      <w:tr>
        <w:trPr>
          <w:trHeight w:val="162"/>
        </w:trPr>
        <w:tc>
          <w:tcPr>
            <w:tcW w:w="3800" w:type="dxa"/>
            <w:vAlign w:val="bottom"/>
          </w:tcPr>
          <w:p>
            <w:pPr>
              <w:spacing w:after="0"/>
              <w:rPr>
                <w:sz w:val="20"/>
                <w:szCs w:val="20"/>
                <w:color w:val="auto"/>
              </w:rPr>
            </w:pPr>
            <w:r>
              <w:rPr>
                <w:rFonts w:ascii="Arial" w:cs="Arial" w:eastAsia="Arial" w:hAnsi="Arial"/>
                <w:sz w:val="14"/>
                <w:szCs w:val="14"/>
                <w:color w:val="auto"/>
              </w:rPr>
              <w:t>Issuance of restricted stock</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226,335</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800" w:type="dxa"/>
            <w:vAlign w:val="bottom"/>
            <w:shd w:val="clear" w:color="auto" w:fill="CFF0FC"/>
          </w:tcPr>
          <w:p>
            <w:pPr>
              <w:spacing w:after="0"/>
              <w:rPr>
                <w:sz w:val="20"/>
                <w:szCs w:val="20"/>
                <w:color w:val="auto"/>
              </w:rPr>
            </w:pPr>
            <w:r>
              <w:rPr>
                <w:rFonts w:ascii="Arial" w:cs="Arial" w:eastAsia="Arial" w:hAnsi="Arial"/>
                <w:sz w:val="14"/>
                <w:szCs w:val="14"/>
                <w:color w:val="auto"/>
              </w:rPr>
              <w:t>Cancellation of restricted stock</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(33,755)</w:t>
            </w: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800" w:type="dxa"/>
            <w:vAlign w:val="bottom"/>
          </w:tcPr>
          <w:p>
            <w:pPr>
              <w:spacing w:after="0"/>
              <w:rPr>
                <w:sz w:val="20"/>
                <w:szCs w:val="20"/>
                <w:color w:val="auto"/>
              </w:rPr>
            </w:pPr>
            <w:r>
              <w:rPr>
                <w:rFonts w:ascii="Arial" w:cs="Arial" w:eastAsia="Arial" w:hAnsi="Arial"/>
                <w:sz w:val="14"/>
                <w:szCs w:val="14"/>
                <w:color w:val="auto"/>
              </w:rPr>
              <w:t>Equity-based compensation expense</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1,095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1,095</w:t>
            </w:r>
          </w:p>
        </w:tc>
        <w:tc>
          <w:tcPr>
            <w:tcW w:w="0" w:type="dxa"/>
            <w:vAlign w:val="bottom"/>
          </w:tcPr>
          <w:p>
            <w:pPr>
              <w:spacing w:after="0"/>
              <w:rPr>
                <w:sz w:val="1"/>
                <w:szCs w:val="1"/>
                <w:color w:val="auto"/>
              </w:rPr>
            </w:pPr>
          </w:p>
        </w:tc>
      </w:tr>
      <w:tr>
        <w:trPr>
          <w:trHeight w:val="162"/>
        </w:trPr>
        <w:tc>
          <w:tcPr>
            <w:tcW w:w="3800" w:type="dxa"/>
            <w:vAlign w:val="bottom"/>
            <w:shd w:val="clear" w:color="auto" w:fill="CFF0FC"/>
          </w:tcPr>
          <w:p>
            <w:pPr>
              <w:spacing w:after="0"/>
              <w:rPr>
                <w:sz w:val="20"/>
                <w:szCs w:val="20"/>
                <w:color w:val="auto"/>
              </w:rPr>
            </w:pPr>
            <w:r>
              <w:rPr>
                <w:rFonts w:ascii="Arial" w:cs="Arial" w:eastAsia="Arial" w:hAnsi="Arial"/>
                <w:sz w:val="14"/>
                <w:szCs w:val="14"/>
                <w:color w:val="auto"/>
              </w:rPr>
              <w:t>Unrealized gain (loss) on securities</w:t>
            </w: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62"/>
        </w:trPr>
        <w:tc>
          <w:tcPr>
            <w:tcW w:w="3800" w:type="dxa"/>
            <w:vAlign w:val="bottom"/>
          </w:tcPr>
          <w:p>
            <w:pPr>
              <w:spacing w:after="0"/>
              <w:rPr>
                <w:sz w:val="20"/>
                <w:szCs w:val="20"/>
                <w:color w:val="auto"/>
              </w:rPr>
            </w:pPr>
            <w:r>
              <w:rPr>
                <w:rFonts w:ascii="Arial" w:cs="Arial" w:eastAsia="Arial" w:hAnsi="Arial"/>
                <w:sz w:val="14"/>
                <w:szCs w:val="14"/>
                <w:color w:val="auto"/>
              </w:rPr>
              <w:t>Net loss</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(15,828)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(15,828)</w:t>
            </w:r>
          </w:p>
        </w:tc>
        <w:tc>
          <w:tcPr>
            <w:tcW w:w="0" w:type="dxa"/>
            <w:vAlign w:val="bottom"/>
          </w:tcPr>
          <w:p>
            <w:pPr>
              <w:spacing w:after="0"/>
              <w:rPr>
                <w:sz w:val="1"/>
                <w:szCs w:val="1"/>
                <w:color w:val="auto"/>
              </w:rPr>
            </w:pPr>
          </w:p>
        </w:tc>
      </w:tr>
      <w:tr>
        <w:trPr>
          <w:trHeight w:val="155"/>
        </w:trPr>
        <w:tc>
          <w:tcPr>
            <w:tcW w:w="380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March 31, 2020</w:t>
            </w:r>
          </w:p>
        </w:tc>
        <w:tc>
          <w:tcPr>
            <w:tcW w:w="114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32,459,394</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820" w:type="dxa"/>
            <w:vAlign w:val="bottom"/>
            <w:tcBorders>
              <w:top w:val="single" w:sz="8" w:color="auto"/>
              <w:bottom w:val="single" w:sz="8" w:color="auto"/>
            </w:tcBorders>
            <w:shd w:val="clear" w:color="auto" w:fill="CFF0FC"/>
          </w:tcPr>
          <w:p>
            <w:pPr>
              <w:jc w:val="right"/>
              <w:ind w:right="668"/>
              <w:spacing w:after="0" w:line="155" w:lineRule="exact"/>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33</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328,995</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55</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(186,966)</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142,117</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 Consolidated Statements of Cash Flows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ectPr>
          <w:pgSz w:w="11900" w:h="16838" w:orient="portrait"/>
          <w:cols w:equalWidth="0" w:num="1">
            <w:col w:w="11240"/>
          </w:cols>
          <w:pgMar w:left="320" w:top="337" w:right="339" w:bottom="1440" w:gutter="0" w:footer="0" w:header="0"/>
        </w:sectPr>
      </w:pPr>
    </w:p>
    <w:p>
      <w:pPr>
        <w:spacing w:after="0" w:line="298" w:lineRule="exact"/>
        <w:rPr>
          <w:sz w:val="20"/>
          <w:szCs w:val="20"/>
          <w:color w:val="auto"/>
        </w:rPr>
      </w:pPr>
    </w:p>
    <w:p>
      <w:pPr>
        <w:jc w:val="center"/>
        <w:ind w:left="7840"/>
        <w:spacing w:after="0"/>
        <w:rPr>
          <w:sz w:val="20"/>
          <w:szCs w:val="20"/>
          <w:color w:val="auto"/>
        </w:rPr>
      </w:pPr>
      <w:r>
        <w:rPr>
          <w:rFonts w:ascii="Arial" w:cs="Arial" w:eastAsia="Arial" w:hAnsi="Arial"/>
          <w:sz w:val="13"/>
          <w:szCs w:val="13"/>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13970</wp:posOffset>
            </wp:positionV>
            <wp:extent cx="9861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16" w:lineRule="exact"/>
        <w:rPr>
          <w:sz w:val="20"/>
          <w:szCs w:val="20"/>
          <w:color w:val="auto"/>
        </w:rPr>
      </w:pPr>
    </w:p>
    <w:p>
      <w:pPr>
        <w:jc w:val="center"/>
        <w:ind w:left="7840"/>
        <w:spacing w:after="0"/>
        <w:rPr>
          <w:sz w:val="20"/>
          <w:szCs w:val="20"/>
          <w:color w:val="auto"/>
        </w:rPr>
      </w:pP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jc w:val="center"/>
        <w:ind w:right="260"/>
        <w:spacing w:after="0"/>
        <w:rPr>
          <w:sz w:val="20"/>
          <w:szCs w:val="20"/>
          <w:color w:val="auto"/>
        </w:rPr>
      </w:pPr>
      <w:r>
        <w:rPr>
          <w:rFonts w:ascii="Arial" w:cs="Arial" w:eastAsia="Arial" w:hAnsi="Arial"/>
          <w:sz w:val="13"/>
          <w:szCs w:val="13"/>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13970</wp:posOffset>
            </wp:positionV>
            <wp:extent cx="9855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16"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auto"/>
        </w:rPr>
        <w:t>2020</w:t>
      </w:r>
    </w:p>
    <w:p>
      <w:pPr>
        <w:spacing w:after="0" w:line="1" w:lineRule="exact"/>
        <w:rPr>
          <w:sz w:val="20"/>
          <w:szCs w:val="20"/>
          <w:color w:val="auto"/>
        </w:rPr>
      </w:pPr>
    </w:p>
    <w:p>
      <w:pPr>
        <w:sectPr>
          <w:pgSz w:w="11900" w:h="16838" w:orient="portrait"/>
          <w:cols w:equalWidth="0" w:num="2">
            <w:col w:w="9140" w:space="540"/>
            <w:col w:w="1560"/>
          </w:cols>
          <w:pgMar w:left="320" w:top="337"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7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680" w:type="dxa"/>
            <w:vAlign w:val="bottom"/>
            <w:gridSpan w:val="2"/>
          </w:tcPr>
          <w:p>
            <w:pPr>
              <w:jc w:val="right"/>
              <w:ind w:right="387"/>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(14,971)</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(15,828)</w:t>
            </w:r>
          </w:p>
        </w:tc>
        <w:tc>
          <w:tcPr>
            <w:tcW w:w="0" w:type="dxa"/>
            <w:vAlign w:val="bottom"/>
          </w:tcPr>
          <w:p>
            <w:pPr>
              <w:spacing w:after="0"/>
              <w:rPr>
                <w:sz w:val="1"/>
                <w:szCs w:val="1"/>
                <w:color w:val="auto"/>
              </w:rPr>
            </w:pPr>
          </w:p>
        </w:tc>
      </w:tr>
      <w:tr>
        <w:trPr>
          <w:trHeight w:val="230"/>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Pr>
          <w:p>
            <w:pPr>
              <w:ind w:left="500"/>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626</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Equity-based compensation expense</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w:t>
            </w: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Pr>
          <w:p>
            <w:pPr>
              <w:ind w:left="500"/>
              <w:spacing w:after="0"/>
              <w:rPr>
                <w:sz w:val="20"/>
                <w:szCs w:val="20"/>
                <w:color w:val="auto"/>
              </w:rPr>
            </w:pPr>
            <w:r>
              <w:rPr>
                <w:rFonts w:ascii="Arial" w:cs="Arial" w:eastAsia="Arial" w:hAnsi="Arial"/>
                <w:sz w:val="18"/>
                <w:szCs w:val="18"/>
                <w:color w:val="auto"/>
              </w:rPr>
              <w:t>Accretion/amortization of investment securities</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9"/>
        </w:trPr>
        <w:tc>
          <w:tcPr>
            <w:tcW w:w="7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Reduction in carrying amount of operating lease right of use asset</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w:t>
            </w: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(443)</w:t>
            </w: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tcPr>
          <w:p>
            <w:pPr>
              <w:ind w:left="740"/>
              <w:spacing w:after="0"/>
              <w:rPr>
                <w:sz w:val="20"/>
                <w:szCs w:val="20"/>
                <w:color w:val="auto"/>
              </w:rPr>
            </w:pPr>
            <w:r>
              <w:rPr>
                <w:rFonts w:ascii="Arial" w:cs="Arial" w:eastAsia="Arial" w:hAnsi="Arial"/>
                <w:sz w:val="18"/>
                <w:szCs w:val="18"/>
                <w:color w:val="auto"/>
              </w:rPr>
              <w:t>Prepaid research and development, net of current portion</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1,382</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(1,408)</w:t>
            </w: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(2,129)</w:t>
            </w:r>
          </w:p>
        </w:tc>
        <w:tc>
          <w:tcPr>
            <w:tcW w:w="0" w:type="dxa"/>
            <w:vAlign w:val="bottom"/>
          </w:tcPr>
          <w:p>
            <w:pPr>
              <w:spacing w:after="0"/>
              <w:rPr>
                <w:sz w:val="1"/>
                <w:szCs w:val="1"/>
                <w:color w:val="auto"/>
              </w:rPr>
            </w:pPr>
          </w:p>
        </w:tc>
      </w:tr>
      <w:tr>
        <w:trPr>
          <w:trHeight w:val="229"/>
        </w:trPr>
        <w:tc>
          <w:tcPr>
            <w:tcW w:w="7580" w:type="dxa"/>
            <w:vAlign w:val="bottom"/>
          </w:tcPr>
          <w:p>
            <w:pPr>
              <w:ind w:left="74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75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Operating lease liabilities</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(606)</w:t>
            </w: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23"/>
        </w:trPr>
        <w:tc>
          <w:tcPr>
            <w:tcW w:w="7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tcBorders>
              <w:bottom w:val="single" w:sz="8" w:color="CFF0FC"/>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(13,976)</w:t>
            </w:r>
          </w:p>
        </w:tc>
        <w:tc>
          <w:tcPr>
            <w:tcW w:w="300" w:type="dxa"/>
            <w:vAlign w:val="bottom"/>
            <w:tcBorders>
              <w:bottom w:val="single" w:sz="8" w:color="CFF0FC"/>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(12,479)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Pr>
          <w:p>
            <w:pPr>
              <w:ind w:left="260"/>
              <w:spacing w:after="0"/>
              <w:rPr>
                <w:sz w:val="20"/>
                <w:szCs w:val="20"/>
                <w:color w:val="auto"/>
              </w:rPr>
            </w:pPr>
            <w:r>
              <w:rPr>
                <w:rFonts w:ascii="Arial" w:cs="Arial" w:eastAsia="Arial" w:hAnsi="Arial"/>
                <w:sz w:val="18"/>
                <w:szCs w:val="18"/>
                <w:color w:val="auto"/>
              </w:rPr>
              <w:t>Purchases of marketable securities</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(27,091)</w:t>
            </w: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(14,269)</w:t>
            </w:r>
          </w:p>
        </w:tc>
        <w:tc>
          <w:tcPr>
            <w:tcW w:w="0" w:type="dxa"/>
            <w:vAlign w:val="bottom"/>
          </w:tcPr>
          <w:p>
            <w:pPr>
              <w:spacing w:after="0"/>
              <w:rPr>
                <w:sz w:val="1"/>
                <w:szCs w:val="1"/>
                <w:color w:val="auto"/>
              </w:rPr>
            </w:pPr>
          </w:p>
        </w:tc>
      </w:tr>
      <w:tr>
        <w:trPr>
          <w:trHeight w:val="230"/>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maturity of marketable securities</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25,996</w:t>
            </w: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Pr>
          <w:p>
            <w:pPr>
              <w:ind w:left="260"/>
              <w:spacing w:after="0"/>
              <w:rPr>
                <w:sz w:val="20"/>
                <w:szCs w:val="20"/>
                <w:color w:val="auto"/>
              </w:rPr>
            </w:pPr>
            <w:r>
              <w:rPr>
                <w:rFonts w:ascii="Arial" w:cs="Arial" w:eastAsia="Arial" w:hAnsi="Arial"/>
                <w:sz w:val="18"/>
                <w:szCs w:val="18"/>
                <w:color w:val="auto"/>
              </w:rPr>
              <w:t>Proceeds from redemption of marketable securities</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1,270</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(21)</w:t>
            </w: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23"/>
        </w:trPr>
        <w:tc>
          <w:tcPr>
            <w:tcW w:w="7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investing activities</w:t>
            </w:r>
          </w:p>
        </w:tc>
        <w:tc>
          <w:tcPr>
            <w:tcW w:w="140" w:type="dxa"/>
            <w:vAlign w:val="bottom"/>
            <w:tcBorders>
              <w:bottom w:val="single" w:sz="8" w:color="CFF0FC"/>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300" w:type="dxa"/>
            <w:vAlign w:val="bottom"/>
            <w:tcBorders>
              <w:bottom w:val="single" w:sz="8" w:color="CFF0FC"/>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tcPr>
          <w:p>
            <w:pPr>
              <w:ind w:left="260"/>
              <w:spacing w:after="0"/>
              <w:rPr>
                <w:sz w:val="20"/>
                <w:szCs w:val="20"/>
                <w:color w:val="auto"/>
              </w:rPr>
            </w:pPr>
            <w:r>
              <w:rPr>
                <w:rFonts w:ascii="Arial" w:cs="Arial" w:eastAsia="Arial" w:hAnsi="Arial"/>
                <w:sz w:val="18"/>
                <w:szCs w:val="18"/>
                <w:color w:val="auto"/>
              </w:rPr>
              <w:t>Payments on finance lease obligations</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5"/>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2"/>
              </w:rPr>
              <w:t>Proceeds from issuance of common stock in connection with at-the-market offering, net of issuance</w:t>
            </w: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costs</w:t>
            </w:r>
          </w:p>
        </w:tc>
        <w:tc>
          <w:tcPr>
            <w:tcW w:w="1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8,052</w:t>
            </w:r>
          </w:p>
        </w:tc>
        <w:tc>
          <w:tcPr>
            <w:tcW w:w="30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80" w:type="dxa"/>
            <w:vAlign w:val="bottom"/>
          </w:tcPr>
          <w:p>
            <w:pPr>
              <w:ind w:left="260"/>
              <w:spacing w:after="0"/>
              <w:rPr>
                <w:sz w:val="20"/>
                <w:szCs w:val="20"/>
                <w:color w:val="auto"/>
              </w:rPr>
            </w:pPr>
            <w:r>
              <w:rPr>
                <w:rFonts w:ascii="Arial" w:cs="Arial" w:eastAsia="Arial" w:hAnsi="Arial"/>
                <w:sz w:val="18"/>
                <w:szCs w:val="18"/>
                <w:color w:val="auto"/>
              </w:rPr>
              <w:t>Proceeds from employee stock purchases and exercise of stock options</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 of employee withholding taxes relating to restricted stock awards</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(65)</w:t>
            </w: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(used in) financing activities</w:t>
            </w:r>
          </w:p>
        </w:tc>
        <w:tc>
          <w:tcPr>
            <w:tcW w:w="140" w:type="dxa"/>
            <w:vAlign w:val="bottom"/>
            <w:tcBorders>
              <w:bottom w:val="single" w:sz="8" w:color="CFF0FC"/>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8,019</w:t>
            </w:r>
          </w:p>
        </w:tc>
        <w:tc>
          <w:tcPr>
            <w:tcW w:w="300" w:type="dxa"/>
            <w:vAlign w:val="bottom"/>
            <w:tcBorders>
              <w:bottom w:val="single" w:sz="8" w:color="CFF0FC"/>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(5,803)</w:t>
            </w: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14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33,604</w:t>
            </w:r>
          </w:p>
        </w:tc>
        <w:tc>
          <w:tcPr>
            <w:tcW w:w="30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27,281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4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27,801</w:t>
            </w:r>
          </w:p>
        </w:tc>
        <w:tc>
          <w:tcPr>
            <w:tcW w:w="3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20,550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8"/>
                <w:szCs w:val="18"/>
                <w:color w:val="auto"/>
              </w:rPr>
              <w:t>Supplemental disclosure of non-cash investing activities:</w:t>
            </w: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and equipment purchases included in accounts payable and accrued expenses</w:t>
            </w:r>
          </w:p>
        </w:tc>
        <w:tc>
          <w:tcPr>
            <w:tcW w:w="680" w:type="dxa"/>
            <w:vAlign w:val="bottom"/>
            <w:gridSpan w:val="2"/>
            <w:shd w:val="clear" w:color="auto" w:fill="CFF0FC"/>
          </w:tcPr>
          <w:p>
            <w:pPr>
              <w:jc w:val="right"/>
              <w:ind w:right="38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Supplemental disclosure of non-cash financing activities:</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costs included in accounts payable and accrued expenses</w:t>
            </w:r>
          </w:p>
        </w:tc>
        <w:tc>
          <w:tcPr>
            <w:tcW w:w="680" w:type="dxa"/>
            <w:vAlign w:val="bottom"/>
            <w:gridSpan w:val="2"/>
            <w:shd w:val="clear" w:color="auto" w:fill="CFF0FC"/>
          </w:tcPr>
          <w:p>
            <w:pPr>
              <w:jc w:val="right"/>
              <w:ind w:right="38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80" w:type="dxa"/>
            <w:vAlign w:val="bottom"/>
          </w:tcPr>
          <w:p>
            <w:pPr>
              <w:ind w:left="260"/>
              <w:spacing w:after="0"/>
              <w:rPr>
                <w:sz w:val="20"/>
                <w:szCs w:val="20"/>
                <w:color w:val="auto"/>
              </w:rPr>
            </w:pPr>
            <w:r>
              <w:rPr>
                <w:rFonts w:ascii="Arial" w:cs="Arial" w:eastAsia="Arial" w:hAnsi="Arial"/>
                <w:sz w:val="18"/>
                <w:szCs w:val="18"/>
                <w:color w:val="auto"/>
              </w:rPr>
              <w:t>Cash paid for interest</w:t>
            </w:r>
          </w:p>
        </w:tc>
        <w:tc>
          <w:tcPr>
            <w:tcW w:w="680" w:type="dxa"/>
            <w:vAlign w:val="bottom"/>
            <w:gridSpan w:val="2"/>
          </w:tcPr>
          <w:p>
            <w:pPr>
              <w:jc w:val="right"/>
              <w:ind w:right="387"/>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8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Nature of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44" w:lineRule="exact"/>
        <w:rPr>
          <w:sz w:val="20"/>
          <w:szCs w:val="20"/>
          <w:color w:val="auto"/>
        </w:rPr>
      </w:pPr>
    </w:p>
    <w:p>
      <w:pPr>
        <w:ind w:right="40" w:firstLine="562"/>
        <w:spacing w:after="0" w:line="293" w:lineRule="auto"/>
        <w:rPr>
          <w:sz w:val="20"/>
          <w:szCs w:val="20"/>
          <w:color w:val="auto"/>
        </w:rPr>
      </w:pPr>
      <w:r>
        <w:rPr>
          <w:rFonts w:ascii="Arial" w:cs="Arial" w:eastAsia="Arial" w:hAnsi="Arial"/>
          <w:sz w:val="16"/>
          <w:szCs w:val="16"/>
          <w:color w:val="auto"/>
        </w:rPr>
        <w:t>Synlogic, Inc., together with its wholly owned and consolidated subsidiaries (“Synlogic” or the “Company”), is a clinical-stage biopharmaceutical company focused on the drug discovery and development of Synthetic Biotic™ medicines. Synthetic Biotic medicines are generated from Synlogic’s proprietary drug discovery and development platform, leveraging a reproducible, modular approach to synthetic biology to develop beneficial microbes, which perform or deliver critical therapeutic functions. Synthetic Biotic medicines are designed to metabolize a toxic substance or compensate for missing or damaged metabolic pathways. Synlogic’s goal is to discover, develop and ultimately commercialize Synthetic Biotic medicines. Since incorporation, the Company has devoted substantially all of its efforts to the research and development of its product candidates.</w:t>
      </w:r>
    </w:p>
    <w:p>
      <w:pPr>
        <w:spacing w:after="0" w:line="97"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On August 28, 2017, Synlogic, Inc., formerly known as Mirna Therapeutics, Inc. (NASDAQ: MIRN) (“Mirna”), completed a business combination with Synlogic, a private company, pursuant to the Agreement and Plan of Merger and Reorganization, dated as of May 15, 2017 (the “Merger Agreement”), pursuant to which the private Synlogic entity survived as a wholly owned subsidiary of Mirna (the “Merger”). Immediately after completion of the Merger, Mirna changed its name to “Synlogic, Inc.” (NASDAQ: SYBX).</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ind w:right="140" w:firstLine="510"/>
        <w:spacing w:after="0" w:line="255" w:lineRule="auto"/>
        <w:rPr>
          <w:sz w:val="20"/>
          <w:szCs w:val="20"/>
          <w:color w:val="auto"/>
        </w:rPr>
      </w:pPr>
      <w:r>
        <w:rPr>
          <w:rFonts w:ascii="Arial" w:cs="Arial" w:eastAsia="Arial" w:hAnsi="Arial"/>
          <w:sz w:val="18"/>
          <w:szCs w:val="18"/>
          <w:color w:val="auto"/>
        </w:rPr>
        <w:t>At March 31, 2021, the Company had approximately $94.4 million in cash, cash equivalents, and short-term marketable securities, $1.1 million of restricted cash and an accumulated deficit of approximately $245.3 million. Since its inception through March 31, 2021, the Company has primarily financed its operations through the issuance of preferred stock, units and warrants, the sale of its common stock, the AbbVie collaboration, and cash received in the Merger. In the absence of positive cash flows from operations, the Company is highly dependent on its ability to find additional sources of funding in the form of debt or equity financing. Management believes that the Company has sufficient cash to fund its operations through at least twelve months from the issuance of these financial statements.</w:t>
      </w:r>
    </w:p>
    <w:p>
      <w:pPr>
        <w:spacing w:after="0" w:line="192" w:lineRule="exact"/>
        <w:rPr>
          <w:sz w:val="20"/>
          <w:szCs w:val="20"/>
          <w:color w:val="auto"/>
        </w:rPr>
      </w:pPr>
    </w:p>
    <w:p>
      <w:pPr>
        <w:ind w:right="80" w:firstLine="510"/>
        <w:spacing w:after="0" w:line="268" w:lineRule="auto"/>
        <w:rPr>
          <w:sz w:val="20"/>
          <w:szCs w:val="20"/>
          <w:color w:val="auto"/>
        </w:rPr>
      </w:pPr>
      <w:r>
        <w:rPr>
          <w:rFonts w:ascii="Arial" w:cs="Arial" w:eastAsia="Arial" w:hAnsi="Arial"/>
          <w:sz w:val="17"/>
          <w:szCs w:val="17"/>
          <w:color w:val="auto"/>
        </w:rPr>
        <w:t>As an early-stage company, the Company is subject to a number of risks common to other life science companies, including, but not limited to, raising additional capital, development by its competitors of new technological innovations, risk of failure in preclinical and clinical studies, safety and efficacy of its product candidates in clinical trials, the risk of relying on external parties such as contract research organizations (“CROs”) and contract manufacturing organizations (“CMOs”), the regulatory approval process, market acceptance of the Company’s products once approved, lack of marketing and sales history, dependence on key personnel and protection of proprietary technology. The Company’s therapeutic programs are currently pre-commercial, spanning discovery through early development and will require significant additional research and development efforts, including extensive preclinical and clinical testing and regulatory approval, prior to commercialization of any product candidates. These efforts require significant amounts of additional capital, adequate personnel, infrastructure, and extensive compliance-reporting capabilities. There can be no assurance that the Company’s research and development will be successfully completed, that adequate protection for the Company’s intellectual property will be obtained, that any products developed will obtain necessary regulatory approval or that any approved products will be commercially viable. Even if the Company’s product development efforts are successful, it is uncertain when, if ever, the Company will generate revenue from product sales. The Company may never achieve profitability, and unless and until it does, it will continue to need to raise additional capital or obtain financing from other sources, such as strategic collaborations or partnerships.</w:t>
      </w:r>
    </w:p>
    <w:p>
      <w:pPr>
        <w:spacing w:after="0" w:line="290"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ind w:right="40" w:firstLine="510"/>
        <w:spacing w:after="0" w:line="301" w:lineRule="auto"/>
        <w:rPr>
          <w:sz w:val="20"/>
          <w:szCs w:val="20"/>
          <w:color w:val="auto"/>
        </w:rPr>
      </w:pPr>
      <w:r>
        <w:rPr>
          <w:rFonts w:ascii="Arial" w:cs="Arial" w:eastAsia="Arial" w:hAnsi="Arial"/>
          <w:sz w:val="16"/>
          <w:szCs w:val="16"/>
          <w:color w:val="auto"/>
        </w:rPr>
        <w:t>The significant accounting policies described in the Company’s audited financial statements as of and for the year ended December 31, 2020, and the notes thereto, which are included in the Company’s Annual Report on Form 10-K for the year ended December 31, 2020, filed with the Securities and Exchange Commission (“SEC”) on March 25, 2021 (the “2020 Annual Report”), have had no material changes during the three months ended March 31, 2021. The updated accounting policy and the impact of adoption are discussed in the “Recently Adopted Accounting Pronouncements” section in this note.</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The accompanying consolidated financial statements and the related disclosures as of March 31, 2021 and for the three months ended March 31, 2021 and 2020 are unaudited and have been prepared in accordance with accounting principles generally accepted in the United States (“GAAP”) and the rules and regulations of the SEC for interim financial statements. Accordingly, they do not include all of the information and notes required by GAAP for complete financial statements. These interim consolidated financial statements should be read in conjunction with the Company’s 2020 and 2019 audited consolidated financial statements and notes included in the Company’s 2020 Annual Report. The December 31, 2020 consolidated balance sheet included herein was derived from</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8" w:name="page9"/>
    <w:bookmarkEnd w:id="8"/>
    <w:p>
      <w:pPr>
        <w:ind w:right="20"/>
        <w:spacing w:after="0" w:line="257" w:lineRule="auto"/>
        <w:rPr>
          <w:sz w:val="20"/>
          <w:szCs w:val="20"/>
          <w:color w:val="auto"/>
        </w:rPr>
      </w:pPr>
      <w:r>
        <w:rPr>
          <w:rFonts w:ascii="Arial" w:cs="Arial" w:eastAsia="Arial" w:hAnsi="Arial"/>
          <w:sz w:val="18"/>
          <w:szCs w:val="18"/>
          <w:color w:val="auto"/>
        </w:rPr>
        <w:t>the audited financial statements as of that date but does not include all disclosures including notes required by GAAP for complete financial statements. In the opinion of management, the unaudited interim consolidated financial statements reflect all adjustments, consisting of normal and recurring adjustments, necessary for the fair presentation of the Company’s financial position and results of operations for the three months ended March 31, 2021 and 2020. The results of operations for the interim periods are not necessarily indicative of the results to be expected for the year ending December 31, 2021 or any other interim period or future year or period.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620" w:firstLine="562"/>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Synlogic and its wholly owned subsidiaries. All intercompany accounts and transactions have been eliminated in consolidation.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 xml:space="preserve">In October 2020, the FASB issued an amendment, ASU 2020-08, </w:t>
      </w:r>
      <w:r>
        <w:rPr>
          <w:rFonts w:ascii="Arial" w:cs="Arial" w:eastAsia="Arial" w:hAnsi="Arial"/>
          <w:sz w:val="18"/>
          <w:szCs w:val="18"/>
          <w:i w:val="1"/>
          <w:iCs w:val="1"/>
          <w:color w:val="auto"/>
        </w:rPr>
        <w:t>Codification Improvements to Subtopic 310-20, Receivables – Nonrefundable Fees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Other Costs, </w:t>
      </w:r>
      <w:r>
        <w:rPr>
          <w:rFonts w:ascii="Arial" w:cs="Arial" w:eastAsia="Arial" w:hAnsi="Arial"/>
          <w:sz w:val="18"/>
          <w:szCs w:val="18"/>
          <w:color w:val="auto"/>
        </w:rPr>
        <w:t>to the guidance in ASU 2017-08,</w:t>
      </w:r>
      <w:r>
        <w:rPr>
          <w:rFonts w:ascii="Arial" w:cs="Arial" w:eastAsia="Arial" w:hAnsi="Arial"/>
          <w:sz w:val="18"/>
          <w:szCs w:val="18"/>
          <w:i w:val="1"/>
          <w:iCs w:val="1"/>
          <w:color w:val="auto"/>
        </w:rPr>
        <w:t xml:space="preserve"> Receivables-Nonrefundable Fees and Other Costs (Subtopic 310-20): Premium Amortization on Purchased Callable Debt Securities. </w:t>
      </w:r>
      <w:r>
        <w:rPr>
          <w:rFonts w:ascii="Arial" w:cs="Arial" w:eastAsia="Arial" w:hAnsi="Arial"/>
          <w:sz w:val="18"/>
          <w:szCs w:val="18"/>
          <w:color w:val="auto"/>
        </w:rPr>
        <w:t>The amendment requires companies to reevaluate whether a callable debt security that has multiple call dates is within</w:t>
      </w:r>
      <w:r>
        <w:rPr>
          <w:rFonts w:ascii="Arial" w:cs="Arial" w:eastAsia="Arial" w:hAnsi="Arial"/>
          <w:sz w:val="18"/>
          <w:szCs w:val="18"/>
          <w:i w:val="1"/>
          <w:iCs w:val="1"/>
          <w:color w:val="auto"/>
        </w:rPr>
        <w:t xml:space="preserve"> </w:t>
      </w:r>
      <w:r>
        <w:rPr>
          <w:rFonts w:ascii="Arial" w:cs="Arial" w:eastAsia="Arial" w:hAnsi="Arial"/>
          <w:sz w:val="18"/>
          <w:szCs w:val="18"/>
          <w:color w:val="auto"/>
        </w:rPr>
        <w:t>the scope of paragraph 310-20-65-2. The amendment shall be effective for fiscal years, and interim periods within those fiscal years, beginning after December 15, 2020. The Company adopted the new guidance effective on January 1, 2021 which had an immaterial impact on its consolidated financial statements.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Pronouncements</w:t>
      </w:r>
    </w:p>
    <w:p>
      <w:pPr>
        <w:spacing w:after="0" w:line="117"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 xml:space="preserve">In June 2016, the FASB issued ASU 2016-13 - </w:t>
      </w:r>
      <w:r>
        <w:rPr>
          <w:rFonts w:ascii="Arial" w:cs="Arial" w:eastAsia="Arial" w:hAnsi="Arial"/>
          <w:sz w:val="17"/>
          <w:szCs w:val="17"/>
          <w:i w:val="1"/>
          <w:iCs w:val="1"/>
          <w:color w:val="auto"/>
        </w:rPr>
        <w:t>Measurement of Credit Losses on Financial Statements</w:t>
      </w:r>
      <w:r>
        <w:rPr>
          <w:rFonts w:ascii="Arial" w:cs="Arial" w:eastAsia="Arial" w:hAnsi="Arial"/>
          <w:sz w:val="17"/>
          <w:szCs w:val="17"/>
          <w:color w:val="auto"/>
        </w:rPr>
        <w:t xml:space="preserve">. The new standard requires that expected credit losses relating to financial assets measured on an amortized cost basis and available-for-sale debt securities be recorded through an allowance for credit losses. It also limits the amount of credit losses to be recognized for available-for-sale debt securities to the amount by which carrying value exceeds fair value and also requires the reversal of previously recognized credit losses if fair value increases. In November 2019, the FASB issued ASU 2019-10 – </w:t>
      </w:r>
      <w:r>
        <w:rPr>
          <w:rFonts w:ascii="Arial" w:cs="Arial" w:eastAsia="Arial" w:hAnsi="Arial"/>
          <w:sz w:val="17"/>
          <w:szCs w:val="17"/>
          <w:i w:val="1"/>
          <w:iCs w:val="1"/>
          <w:color w:val="auto"/>
        </w:rPr>
        <w:t>Financial Instruments – Credit Losses (Topic 326), Derivatives and Hedging (Topic 815), and Leases (Topic 842): Effective Dates</w:t>
      </w:r>
      <w:r>
        <w:rPr>
          <w:rFonts w:ascii="Arial" w:cs="Arial" w:eastAsia="Arial" w:hAnsi="Arial"/>
          <w:sz w:val="17"/>
          <w:szCs w:val="17"/>
          <w:color w:val="auto"/>
        </w:rPr>
        <w:t>, which amended the</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date for certain companies. The standard is effective for public companies eligible to be smaller reporting companies for annual and interim periods beginning after December 15, 2022. Early adoption is available. The Company is currently evaluating the potential impact ASU 2016-13, and related updates, will have on its consolidated financial statements and disclosures.</w:t>
      </w:r>
    </w:p>
    <w:p>
      <w:pPr>
        <w:spacing w:after="0" w:line="286" w:lineRule="exact"/>
        <w:rPr>
          <w:sz w:val="20"/>
          <w:szCs w:val="20"/>
          <w:color w:val="auto"/>
        </w:rPr>
      </w:pPr>
    </w:p>
    <w:p>
      <w:pPr>
        <w:ind w:right="220" w:firstLine="510"/>
        <w:spacing w:after="0" w:line="308" w:lineRule="auto"/>
        <w:rPr>
          <w:sz w:val="20"/>
          <w:szCs w:val="20"/>
          <w:color w:val="auto"/>
        </w:rPr>
      </w:pPr>
      <w:r>
        <w:rPr>
          <w:rFonts w:ascii="Arial" w:cs="Arial" w:eastAsia="Arial" w:hAnsi="Arial"/>
          <w:sz w:val="17"/>
          <w:szCs w:val="17"/>
          <w:color w:val="auto"/>
        </w:rPr>
        <w:t>The Company has evaluated other recently issued accounting pronouncements and has concluded that that the impact of recently issued standards that are not yet effective will not have a material impact on the Company’s financial position or results of operations upon adoption.</w:t>
      </w:r>
    </w:p>
    <w:p>
      <w:pPr>
        <w:spacing w:after="0" w:line="291"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jc w:val="both"/>
        <w:ind w:right="300" w:firstLine="510"/>
        <w:spacing w:after="0" w:line="263" w:lineRule="auto"/>
        <w:rPr>
          <w:sz w:val="20"/>
          <w:szCs w:val="20"/>
          <w:color w:val="auto"/>
        </w:rPr>
      </w:pPr>
      <w:r>
        <w:rPr>
          <w:rFonts w:ascii="Arial" w:cs="Arial" w:eastAsia="Arial" w:hAnsi="Arial"/>
          <w:sz w:val="18"/>
          <w:szCs w:val="18"/>
          <w:color w:val="auto"/>
        </w:rPr>
        <w:t>The tables below present information about the Company’s assets that are measured at fair value on a recurring basis and indicate the fair value hierarchy of the valuation techniques the Company utilized to determine such fair value, as described under Note 2</w:t>
      </w:r>
      <w:r>
        <w:rPr>
          <w:rFonts w:ascii="Arial" w:cs="Arial" w:eastAsia="Arial" w:hAnsi="Arial"/>
          <w:sz w:val="18"/>
          <w:szCs w:val="18"/>
          <w:i w:val="1"/>
          <w:iCs w:val="1"/>
          <w:color w:val="auto"/>
        </w:rPr>
        <w:t>, 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Policies, </w:t>
      </w:r>
      <w:r>
        <w:rPr>
          <w:rFonts w:ascii="Arial" w:cs="Arial" w:eastAsia="Arial" w:hAnsi="Arial"/>
          <w:sz w:val="18"/>
          <w:szCs w:val="18"/>
          <w:color w:val="auto"/>
        </w:rPr>
        <w:t>in the audited financial statements included in the Company’s 2020 Annual Report.</w:t>
      </w:r>
    </w:p>
    <w:p>
      <w:pPr>
        <w:spacing w:after="0" w:line="184" w:lineRule="exact"/>
        <w:rPr>
          <w:sz w:val="20"/>
          <w:szCs w:val="20"/>
          <w:color w:val="auto"/>
        </w:rPr>
      </w:pPr>
    </w:p>
    <w:p>
      <w:pPr>
        <w:ind w:right="260" w:firstLine="510"/>
        <w:spacing w:after="0" w:line="296" w:lineRule="auto"/>
        <w:rPr>
          <w:sz w:val="20"/>
          <w:szCs w:val="20"/>
          <w:color w:val="auto"/>
        </w:rPr>
      </w:pPr>
      <w:r>
        <w:rPr>
          <w:rFonts w:ascii="Arial" w:cs="Arial" w:eastAsia="Arial" w:hAnsi="Arial"/>
          <w:sz w:val="16"/>
          <w:szCs w:val="16"/>
          <w:color w:val="auto"/>
        </w:rPr>
        <w:t>The Company’s investment portfolio includes many fixed income securities that do not always trade on a daily basis. As a result, the pricing services used by the Company applied other available information as applicable through processes such as benchmark yields, benchmarking of like securities, sector groupings and matrix pricing to prepare evaluations. In addition, model processes were used to assess interest rate impact and develop prepayment scenarios. These models take into consideration relevant credit information, perceived market movements, sector news and economic events. The inputs into these models may include benchmark yields, reported trades, broker-dealer quotes, issuer spreads and other relevant data.</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9" w:name="page10"/>
    <w:bookmarkEnd w:id="9"/>
    <w:p>
      <w:pPr>
        <w:ind w:left="520"/>
        <w:spacing w:after="0"/>
        <w:rPr>
          <w:sz w:val="20"/>
          <w:szCs w:val="20"/>
          <w:color w:val="auto"/>
        </w:rPr>
      </w:pPr>
      <w:r>
        <w:rPr>
          <w:rFonts w:ascii="Arial" w:cs="Arial" w:eastAsia="Arial" w:hAnsi="Arial"/>
          <w:sz w:val="16"/>
          <w:szCs w:val="16"/>
          <w:color w:val="auto"/>
        </w:rPr>
        <w:t>At March 31, 2021 and December 31, 2020, the Company has classified assets measured at fair value on a recurring basis as follows (in thousands):</w:t>
      </w:r>
    </w:p>
    <w:p>
      <w:pPr>
        <w:spacing w:after="0" w:line="32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7"/>
          </w:tcPr>
          <w:p>
            <w:pPr>
              <w:ind w:left="140"/>
              <w:spacing w:after="0"/>
              <w:rPr>
                <w:sz w:val="20"/>
                <w:szCs w:val="20"/>
                <w:color w:val="auto"/>
              </w:rPr>
            </w:pPr>
            <w:r>
              <w:rPr>
                <w:rFonts w:ascii="Arial" w:cs="Arial" w:eastAsia="Arial" w:hAnsi="Arial"/>
                <w:sz w:val="14"/>
                <w:szCs w:val="14"/>
                <w:b w:val="1"/>
                <w:bCs w:val="1"/>
                <w:color w:val="auto"/>
                <w:w w:val="95"/>
              </w:rPr>
              <w:t>Fair Value Measurements at Reporting Date Using</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0"/>
              </w:rPr>
              <w:t>Quoted Prices in Active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Significant Other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12"/>
                <w:szCs w:val="12"/>
                <w:color w:val="auto"/>
              </w:rPr>
            </w:pPr>
          </w:p>
        </w:tc>
        <w:tc>
          <w:tcPr>
            <w:tcW w:w="14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Markets for Identical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center"/>
              <w:ind w:right="195"/>
              <w:spacing w:after="0"/>
              <w:rPr>
                <w:sz w:val="20"/>
                <w:szCs w:val="20"/>
                <w:color w:val="auto"/>
              </w:rPr>
            </w:pPr>
            <w:r>
              <w:rPr>
                <w:rFonts w:ascii="Arial" w:cs="Arial" w:eastAsia="Arial" w:hAnsi="Arial"/>
                <w:sz w:val="14"/>
                <w:szCs w:val="14"/>
                <w:b w:val="1"/>
                <w:bCs w:val="1"/>
                <w:color w:val="auto"/>
                <w:w w:val="82"/>
              </w:rPr>
              <w:t>Assets</w:t>
            </w:r>
          </w:p>
        </w:tc>
        <w:tc>
          <w:tcPr>
            <w:tcW w:w="220" w:type="dxa"/>
            <w:vAlign w:val="bottom"/>
          </w:tcPr>
          <w:p>
            <w:pPr>
              <w:spacing w:after="0"/>
              <w:rPr>
                <w:sz w:val="14"/>
                <w:szCs w:val="14"/>
                <w:color w:val="auto"/>
              </w:rPr>
            </w:pPr>
          </w:p>
        </w:tc>
        <w:tc>
          <w:tcPr>
            <w:tcW w:w="14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Observable Inputs</w:t>
            </w:r>
          </w:p>
        </w:tc>
        <w:tc>
          <w:tcPr>
            <w:tcW w:w="8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Unobservable Inputs</w:t>
            </w:r>
          </w:p>
        </w:tc>
        <w:tc>
          <w:tcPr>
            <w:tcW w:w="0" w:type="dxa"/>
            <w:vAlign w:val="bottom"/>
          </w:tcPr>
          <w:p>
            <w:pPr>
              <w:spacing w:after="0"/>
              <w:rPr>
                <w:sz w:val="1"/>
                <w:szCs w:val="1"/>
                <w:color w:val="auto"/>
              </w:rPr>
            </w:pPr>
          </w:p>
        </w:tc>
      </w:tr>
      <w:tr>
        <w:trPr>
          <w:trHeight w:val="171"/>
        </w:trPr>
        <w:tc>
          <w:tcPr>
            <w:tcW w:w="3940" w:type="dxa"/>
            <w:vAlign w:val="bottom"/>
            <w:gridSpan w:val="2"/>
          </w:tcPr>
          <w:p>
            <w:pPr>
              <w:ind w:left="1540"/>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4"/>
                <w:szCs w:val="14"/>
                <w:color w:val="auto"/>
              </w:rPr>
            </w:pPr>
          </w:p>
        </w:tc>
        <w:tc>
          <w:tcPr>
            <w:tcW w:w="1160" w:type="dxa"/>
            <w:vAlign w:val="bottom"/>
          </w:tcPr>
          <w:p>
            <w:pPr>
              <w:jc w:val="center"/>
              <w:ind w:right="95"/>
              <w:spacing w:after="0"/>
              <w:rPr>
                <w:sz w:val="20"/>
                <w:szCs w:val="20"/>
                <w:color w:val="auto"/>
              </w:rPr>
            </w:pPr>
            <w:r>
              <w:rPr>
                <w:rFonts w:ascii="Arial" w:cs="Arial" w:eastAsia="Arial" w:hAnsi="Arial"/>
                <w:sz w:val="14"/>
                <w:szCs w:val="14"/>
                <w:b w:val="1"/>
                <w:bCs w:val="1"/>
                <w:color w:val="auto"/>
                <w:w w:val="96"/>
              </w:rPr>
              <w:t>2021</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center"/>
              <w:ind w:right="195"/>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3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26,703</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26,703</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FF0FC"/>
          </w:tcPr>
          <w:p>
            <w:pPr>
              <w:ind w:left="9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gridSpan w:val="2"/>
          </w:tcPr>
          <w:p>
            <w:pPr>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42,469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42,469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Corporate debt securities</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16,376</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16,376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40" w:type="dxa"/>
            <w:vAlign w:val="bottom"/>
            <w:gridSpan w:val="2"/>
          </w:tcPr>
          <w:p>
            <w:pPr>
              <w:spacing w:after="0"/>
              <w:rPr>
                <w:sz w:val="20"/>
                <w:szCs w:val="20"/>
                <w:color w:val="auto"/>
              </w:rPr>
            </w:pPr>
            <w:r>
              <w:rPr>
                <w:rFonts w:ascii="Arial" w:cs="Arial" w:eastAsia="Arial" w:hAnsi="Arial"/>
                <w:sz w:val="18"/>
                <w:szCs w:val="18"/>
                <w:color w:val="auto"/>
                <w:w w:val="98"/>
              </w:rPr>
              <w:t>U.S. government agency securities and treasuries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8,803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8,803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94,351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35,506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58,845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FF0FC"/>
          </w:tcPr>
          <w:p>
            <w:pPr>
              <w:ind w:left="9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7"/>
          </w:tcPr>
          <w:p>
            <w:pPr>
              <w:ind w:left="140"/>
              <w:spacing w:after="0"/>
              <w:rPr>
                <w:sz w:val="20"/>
                <w:szCs w:val="20"/>
                <w:color w:val="auto"/>
              </w:rPr>
            </w:pPr>
            <w:r>
              <w:rPr>
                <w:rFonts w:ascii="Arial" w:cs="Arial" w:eastAsia="Arial" w:hAnsi="Arial"/>
                <w:sz w:val="14"/>
                <w:szCs w:val="14"/>
                <w:b w:val="1"/>
                <w:bCs w:val="1"/>
                <w:color w:val="auto"/>
                <w:w w:val="95"/>
              </w:rPr>
              <w:t>Fair Value Measurements at Reporting Date Using</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1"/>
              </w:rPr>
              <w:t>Quoted Prices in Active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Significant Other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90"/>
              </w:rPr>
              <w:t>December 31,</w:t>
            </w:r>
          </w:p>
        </w:tc>
        <w:tc>
          <w:tcPr>
            <w:tcW w:w="220" w:type="dxa"/>
            <w:vAlign w:val="bottom"/>
          </w:tcPr>
          <w:p>
            <w:pPr>
              <w:spacing w:after="0"/>
              <w:rPr>
                <w:sz w:val="12"/>
                <w:szCs w:val="12"/>
                <w:color w:val="auto"/>
              </w:rPr>
            </w:pPr>
          </w:p>
        </w:tc>
        <w:tc>
          <w:tcPr>
            <w:tcW w:w="14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Markets for Identical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center"/>
              <w:ind w:right="195"/>
              <w:spacing w:after="0"/>
              <w:rPr>
                <w:sz w:val="20"/>
                <w:szCs w:val="20"/>
                <w:color w:val="auto"/>
              </w:rPr>
            </w:pPr>
            <w:r>
              <w:rPr>
                <w:rFonts w:ascii="Arial" w:cs="Arial" w:eastAsia="Arial" w:hAnsi="Arial"/>
                <w:sz w:val="14"/>
                <w:szCs w:val="14"/>
                <w:b w:val="1"/>
                <w:bCs w:val="1"/>
                <w:color w:val="auto"/>
                <w:w w:val="82"/>
              </w:rPr>
              <w:t>Assets</w:t>
            </w:r>
          </w:p>
        </w:tc>
        <w:tc>
          <w:tcPr>
            <w:tcW w:w="220" w:type="dxa"/>
            <w:vAlign w:val="bottom"/>
          </w:tcPr>
          <w:p>
            <w:pPr>
              <w:spacing w:after="0"/>
              <w:rPr>
                <w:sz w:val="14"/>
                <w:szCs w:val="14"/>
                <w:color w:val="auto"/>
              </w:rPr>
            </w:pPr>
          </w:p>
        </w:tc>
        <w:tc>
          <w:tcPr>
            <w:tcW w:w="14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Observable Inputs</w:t>
            </w:r>
          </w:p>
        </w:tc>
        <w:tc>
          <w:tcPr>
            <w:tcW w:w="8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Unobservable Inputs</w:t>
            </w:r>
          </w:p>
        </w:tc>
        <w:tc>
          <w:tcPr>
            <w:tcW w:w="0" w:type="dxa"/>
            <w:vAlign w:val="bottom"/>
          </w:tcPr>
          <w:p>
            <w:pPr>
              <w:spacing w:after="0"/>
              <w:rPr>
                <w:sz w:val="1"/>
                <w:szCs w:val="1"/>
                <w:color w:val="auto"/>
              </w:rPr>
            </w:pPr>
          </w:p>
        </w:tc>
      </w:tr>
      <w:tr>
        <w:trPr>
          <w:trHeight w:val="171"/>
        </w:trPr>
        <w:tc>
          <w:tcPr>
            <w:tcW w:w="3940" w:type="dxa"/>
            <w:vAlign w:val="bottom"/>
            <w:gridSpan w:val="2"/>
          </w:tcPr>
          <w:p>
            <w:pPr>
              <w:ind w:left="1540"/>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4"/>
                <w:szCs w:val="14"/>
                <w:color w:val="auto"/>
              </w:rPr>
            </w:pPr>
          </w:p>
        </w:tc>
        <w:tc>
          <w:tcPr>
            <w:tcW w:w="1160" w:type="dxa"/>
            <w:vAlign w:val="bottom"/>
          </w:tcPr>
          <w:p>
            <w:pPr>
              <w:jc w:val="center"/>
              <w:ind w:right="95"/>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center"/>
              <w:ind w:right="195"/>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3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32,506</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32,506</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FF0FC"/>
          </w:tcPr>
          <w:p>
            <w:pPr>
              <w:ind w:left="9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gridSpan w:val="2"/>
          </w:tcPr>
          <w:p>
            <w:pPr>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40,477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40,477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Corporate debt securities</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18,637</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18,637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940" w:type="dxa"/>
            <w:vAlign w:val="bottom"/>
            <w:gridSpan w:val="2"/>
          </w:tcPr>
          <w:p>
            <w:pPr>
              <w:spacing w:after="0"/>
              <w:rPr>
                <w:sz w:val="20"/>
                <w:szCs w:val="20"/>
                <w:color w:val="auto"/>
              </w:rPr>
            </w:pPr>
            <w:r>
              <w:rPr>
                <w:rFonts w:ascii="Arial" w:cs="Arial" w:eastAsia="Arial" w:hAnsi="Arial"/>
                <w:sz w:val="18"/>
                <w:szCs w:val="18"/>
                <w:color w:val="auto"/>
              </w:rPr>
              <w:t>U.S. government agency securities and</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gridSpan w:val="2"/>
          </w:tcPr>
          <w:p>
            <w:pPr>
              <w:ind w:left="140"/>
              <w:spacing w:after="0"/>
              <w:rPr>
                <w:sz w:val="20"/>
                <w:szCs w:val="20"/>
                <w:color w:val="auto"/>
              </w:rPr>
            </w:pPr>
            <w:r>
              <w:rPr>
                <w:rFonts w:ascii="Arial" w:cs="Arial" w:eastAsia="Arial" w:hAnsi="Arial"/>
                <w:sz w:val="18"/>
                <w:szCs w:val="18"/>
                <w:color w:val="auto"/>
              </w:rPr>
              <w:t>treasuries</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8,823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8,823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100,443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41,329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59,114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FF0FC"/>
          </w:tcPr>
          <w:p>
            <w:pPr>
              <w:ind w:left="9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Cash equivalents, prepaid expenses and other current assets, accounts payable and accrued expenses at March 31, 2021 and December 31, 2020 are carried at amounts that approximate fair value due to their short-term maturities. Finance lease obligations at March 31, 2021 and December 31, 2020 approximate fair value as they bear interest at a rate approximating a market interest rate.</w:t>
      </w:r>
    </w:p>
    <w:p>
      <w:pPr>
        <w:spacing w:after="0" w:line="288"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Available-for-Sale Investments</w:t>
      </w:r>
    </w:p>
    <w:p>
      <w:pPr>
        <w:spacing w:after="0" w:line="134"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summarize the available-for-sale securities held at March 31, 2021 and December 31, 2020 (in thousands):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840" w:type="dxa"/>
            <w:vAlign w:val="bottom"/>
            <w:vMerge w:val="restart"/>
          </w:tcPr>
          <w:p>
            <w:pPr>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4"/>
              </w:rPr>
              <w:t>Amortized cost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Gross unrealized</w:t>
            </w:r>
          </w:p>
        </w:tc>
        <w:tc>
          <w:tcPr>
            <w:tcW w:w="100" w:type="dxa"/>
            <w:vAlign w:val="bottom"/>
          </w:tcPr>
          <w:p>
            <w:pPr>
              <w:spacing w:after="0"/>
              <w:rPr>
                <w:sz w:val="14"/>
                <w:szCs w:val="14"/>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Gross unrealized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Fair Value</w:t>
            </w:r>
          </w:p>
        </w:tc>
        <w:tc>
          <w:tcPr>
            <w:tcW w:w="1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FF0FC"/>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7"/>
              </w:rPr>
              <w:t>gains</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77"/>
              </w:rPr>
              <w:t>losses</w:t>
            </w: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42,466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gridSpan w:val="2"/>
          </w:tcPr>
          <w:p>
            <w:pPr>
              <w:spacing w:after="0"/>
              <w:rPr>
                <w:sz w:val="20"/>
                <w:szCs w:val="20"/>
                <w:color w:val="auto"/>
              </w:rPr>
            </w:pPr>
            <w:r>
              <w:rPr>
                <w:rFonts w:ascii="Arial" w:cs="Arial" w:eastAsia="Arial" w:hAnsi="Arial"/>
                <w:sz w:val="18"/>
                <w:szCs w:val="18"/>
                <w:color w:val="auto"/>
              </w:rPr>
              <w:t>Corporate debt securities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16,378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U.S. government agency securities</w:t>
            </w:r>
          </w:p>
        </w:tc>
        <w:tc>
          <w:tcPr>
            <w:tcW w:w="1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8,799</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67,643</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67,648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384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4"/>
              </w:rPr>
              <w:t>Amortized cost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Gross unrealized</w:t>
            </w:r>
          </w:p>
        </w:tc>
        <w:tc>
          <w:tcPr>
            <w:tcW w:w="100" w:type="dxa"/>
            <w:vAlign w:val="bottom"/>
          </w:tcPr>
          <w:p>
            <w:pPr>
              <w:spacing w:after="0"/>
              <w:rPr>
                <w:sz w:val="24"/>
                <w:szCs w:val="24"/>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Gross unrealized</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Fair Value</w:t>
            </w:r>
          </w:p>
        </w:tc>
        <w:tc>
          <w:tcPr>
            <w:tcW w:w="1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8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FF0FC"/>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7"/>
              </w:rPr>
              <w:t>gains</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77"/>
              </w:rPr>
              <w:t>losses</w:t>
            </w: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40,467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gridSpan w:val="2"/>
          </w:tcPr>
          <w:p>
            <w:pPr>
              <w:spacing w:after="0"/>
              <w:rPr>
                <w:sz w:val="20"/>
                <w:szCs w:val="20"/>
                <w:color w:val="auto"/>
              </w:rPr>
            </w:pPr>
            <w:r>
              <w:rPr>
                <w:rFonts w:ascii="Arial" w:cs="Arial" w:eastAsia="Arial" w:hAnsi="Arial"/>
                <w:sz w:val="18"/>
                <w:szCs w:val="18"/>
                <w:color w:val="auto"/>
              </w:rPr>
              <w:t>Corporate debt securities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18,634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18,637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U.S. government agency securities</w:t>
            </w:r>
          </w:p>
        </w:tc>
        <w:tc>
          <w:tcPr>
            <w:tcW w:w="1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8,822</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67,923</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67,937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firstLine="510"/>
        <w:spacing w:after="0" w:line="271" w:lineRule="auto"/>
        <w:rPr>
          <w:sz w:val="20"/>
          <w:szCs w:val="20"/>
          <w:color w:val="auto"/>
        </w:rPr>
      </w:pPr>
      <w:r>
        <w:rPr>
          <w:rFonts w:ascii="Arial" w:cs="Arial" w:eastAsia="Arial" w:hAnsi="Arial"/>
          <w:sz w:val="17"/>
          <w:szCs w:val="17"/>
          <w:color w:val="auto"/>
        </w:rPr>
        <w:t>The contractual maturity of all securities held at March 31, 2021 was nine months or less. There were nine and eight investments in an unrealized loss position at March 31, 2021 and December 31, 2020, respectively, none of which had been in an unrealized loss position for more than twelve months. The aggregate fair value of the securities in an unrealized loss position at March 31, 2021 and December 31, 2020 was $28.8 million and $20.1 million, respectively. The Company reviews its investments for other-than-temporary impairment whenever the fair value of an investment is less than amortized cost and evidence indicates that an investment’s carrying amount is not recoverable within a reasonable period of time. To determine whether an impairment is other-than-temporary, the Company considers whether it has the ability and intent to hold the investment until a market price recovery and considers whether evidence indicating the cost of the investment is recoverable outweighs evidence to the contrary. The Company did not hold any securities with an other-than-temporary impairment at March 31, 2021.</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10" w:name="page11"/>
    <w:bookmarkEnd w:id="10"/>
    <w:p>
      <w:pPr>
        <w:ind w:left="520"/>
        <w:spacing w:after="0"/>
        <w:rPr>
          <w:sz w:val="20"/>
          <w:szCs w:val="20"/>
          <w:color w:val="auto"/>
        </w:rPr>
      </w:pPr>
      <w:r>
        <w:rPr>
          <w:rFonts w:ascii="Arial" w:cs="Arial" w:eastAsia="Arial" w:hAnsi="Arial"/>
          <w:sz w:val="17"/>
          <w:szCs w:val="17"/>
          <w:color w:val="auto"/>
        </w:rPr>
        <w:t>Gross realized gains and losses on the sales of investments have not been material to the Company’s consolidated statement of operations.</w:t>
      </w:r>
    </w:p>
    <w:p>
      <w:pPr>
        <w:spacing w:after="0" w:line="200" w:lineRule="exact"/>
        <w:rPr>
          <w:sz w:val="20"/>
          <w:szCs w:val="20"/>
          <w:color w:val="auto"/>
        </w:rPr>
      </w:pPr>
    </w:p>
    <w:p>
      <w:pPr>
        <w:spacing w:after="0" w:line="208"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net consists of the following (in thousands):</w:t>
      </w:r>
    </w:p>
    <w:p>
      <w:pPr>
        <w:spacing w:after="0" w:line="325"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2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7,793</w:t>
            </w:r>
          </w:p>
        </w:tc>
        <w:tc>
          <w:tcPr>
            <w:tcW w:w="80" w:type="dxa"/>
            <w:vAlign w:val="bottom"/>
            <w:shd w:val="clear" w:color="auto" w:fill="CFF0FC"/>
          </w:tcPr>
          <w:p>
            <w:pPr>
              <w:spacing w:after="0"/>
              <w:rPr>
                <w:sz w:val="19"/>
                <w:szCs w:val="19"/>
                <w:color w:val="auto"/>
              </w:rPr>
            </w:pP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Computer and office equipment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769</w:t>
            </w:r>
          </w:p>
        </w:tc>
        <w:tc>
          <w:tcPr>
            <w:tcW w:w="8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80" w:type="dxa"/>
            <w:vAlign w:val="bottom"/>
            <w:shd w:val="clear" w:color="auto" w:fill="CFF0FC"/>
          </w:tcPr>
          <w:p>
            <w:pPr>
              <w:spacing w:after="0"/>
              <w:rPr>
                <w:sz w:val="19"/>
                <w:szCs w:val="19"/>
                <w:color w:val="auto"/>
              </w:rPr>
            </w:pP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9,514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9,514</w:t>
            </w:r>
          </w:p>
        </w:tc>
        <w:tc>
          <w:tcPr>
            <w:tcW w:w="80" w:type="dxa"/>
            <w:vAlign w:val="bottom"/>
          </w:tcPr>
          <w:p>
            <w:pPr>
              <w:spacing w:after="0"/>
              <w:rPr>
                <w:sz w:val="19"/>
                <w:szCs w:val="19"/>
                <w:color w:val="auto"/>
              </w:rPr>
            </w:pPr>
          </w:p>
        </w:tc>
      </w:tr>
      <w:tr>
        <w:trPr>
          <w:trHeight w:val="22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80" w:type="dxa"/>
            <w:vAlign w:val="bottom"/>
            <w:shd w:val="clear" w:color="auto" w:fill="CFF0FC"/>
          </w:tcPr>
          <w:p>
            <w:pPr>
              <w:spacing w:after="0"/>
              <w:rPr>
                <w:sz w:val="19"/>
                <w:szCs w:val="19"/>
                <w:color w:val="auto"/>
              </w:rPr>
            </w:pPr>
          </w:p>
        </w:tc>
      </w:tr>
      <w:tr>
        <w:trPr>
          <w:trHeight w:val="223"/>
        </w:trPr>
        <w:tc>
          <w:tcPr>
            <w:tcW w:w="5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19,049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19,025</w:t>
            </w:r>
          </w:p>
        </w:tc>
        <w:tc>
          <w:tcPr>
            <w:tcW w:w="80" w:type="dxa"/>
            <w:vAlign w:val="bottom"/>
          </w:tcPr>
          <w:p>
            <w:pPr>
              <w:spacing w:after="0"/>
              <w:rPr>
                <w:sz w:val="19"/>
                <w:szCs w:val="19"/>
                <w:color w:val="auto"/>
              </w:rPr>
            </w:pPr>
          </w:p>
        </w:tc>
      </w:tr>
      <w:tr>
        <w:trPr>
          <w:trHeight w:val="22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(8,875)</w:t>
            </w: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(8,249)</w:t>
            </w:r>
          </w:p>
        </w:tc>
      </w:tr>
      <w:tr>
        <w:trPr>
          <w:trHeight w:val="223"/>
        </w:trPr>
        <w:tc>
          <w:tcPr>
            <w:tcW w:w="5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10,174</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10,776</w:t>
            </w:r>
          </w:p>
        </w:tc>
        <w:tc>
          <w:tcPr>
            <w:tcW w:w="8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73"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Accrued expenses consist of the following (in thousands):</w:t>
      </w:r>
    </w:p>
    <w:p>
      <w:pPr>
        <w:spacing w:after="0" w:line="325"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175"/>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3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Payroll related</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3,005</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Professional fees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215</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2,802</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121"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In June 2019, the Company issued to Ginkgo Bioworks, Inc. (“Ginkgo”) an aggregate of 6,340,771 shares of common stock at a purchase price per share of $9.00, and pre-funded warrants (the “Pre-Funded Warrants”) to purchase an aggregate of 2,548,117 shares of common stock at an exercise price of $9.00 per share, with $8.99 of such exercise price paid at the closing of the offering. The net proceeds to the Company were approximately $79.9 million. None of the Pre-Funded Warrants have been exercised as of March 31, 2021.</w:t>
      </w:r>
    </w:p>
    <w:p>
      <w:pPr>
        <w:spacing w:after="0" w:line="227"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On October 13, 2017 the Company entered into a sales agreement with Cowen and Company, LLC (“Cowen”) with respect to an at-the-market (“ATM”) offering program under which the Company may offer and sell, from time to time at its sole discretion, shares of its common stock, through Cowen as its sales agent. In an ATM offering, exchange-listed companies incrementally sell newly issued shares into the secondary trading market through a designated broker-dealer at prevailing market prices. During the three months ended March 31, 2021, 2,447,211 shares of common stock were sold pursuant to the ATM, respectively, resulting in net proceeds of approximately $8.1 million.</w:t>
      </w:r>
    </w:p>
    <w:p>
      <w:pPr>
        <w:spacing w:after="0" w:line="392" w:lineRule="exact"/>
        <w:rPr>
          <w:sz w:val="20"/>
          <w:szCs w:val="20"/>
          <w:color w:val="auto"/>
        </w:rPr>
      </w:pPr>
    </w:p>
    <w:p>
      <w:pPr>
        <w:ind w:right="460" w:firstLine="510"/>
        <w:spacing w:after="0" w:line="258" w:lineRule="auto"/>
        <w:rPr>
          <w:sz w:val="20"/>
          <w:szCs w:val="20"/>
          <w:color w:val="auto"/>
        </w:rPr>
      </w:pPr>
      <w:r>
        <w:rPr>
          <w:rFonts w:ascii="Arial" w:cs="Arial" w:eastAsia="Arial" w:hAnsi="Arial"/>
          <w:sz w:val="18"/>
          <w:szCs w:val="18"/>
          <w:color w:val="auto"/>
        </w:rPr>
        <w:t>The Company has reserved for future issuance the following shares of common stock related to the potential exercise of Pre-Funded Warrants, exercise of stock options, and the employee stock purchase plan: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4060" w:type="dxa"/>
            <w:vAlign w:val="bottom"/>
            <w:tcBorders>
              <w:bottom w:val="single" w:sz="8" w:color="CFF0FC"/>
            </w:tcBorders>
          </w:tcPr>
          <w:p>
            <w:pPr>
              <w:spacing w:after="0"/>
              <w:rPr>
                <w:sz w:val="14"/>
                <w:szCs w:val="14"/>
                <w:color w:val="auto"/>
              </w:rPr>
            </w:pPr>
          </w:p>
        </w:tc>
        <w:tc>
          <w:tcPr>
            <w:tcW w:w="2060" w:type="dxa"/>
            <w:vAlign w:val="bottom"/>
            <w:tcBorders>
              <w:bottom w:val="single" w:sz="8" w:color="CFF0FC"/>
            </w:tcBorders>
          </w:tcPr>
          <w:p>
            <w:pPr>
              <w:spacing w:after="0"/>
              <w:rPr>
                <w:sz w:val="14"/>
                <w:szCs w:val="14"/>
                <w:color w:val="auto"/>
              </w:rPr>
            </w:pPr>
          </w:p>
        </w:tc>
        <w:tc>
          <w:tcPr>
            <w:tcW w:w="2860" w:type="dxa"/>
            <w:vAlign w:val="bottom"/>
            <w:tcBorders>
              <w:bottom w:val="single" w:sz="8" w:color="auto"/>
            </w:tcBorders>
          </w:tcPr>
          <w:p>
            <w:pPr>
              <w:jc w:val="right"/>
              <w:ind w:right="936"/>
              <w:spacing w:after="0"/>
              <w:rPr>
                <w:sz w:val="20"/>
                <w:szCs w:val="20"/>
                <w:color w:val="auto"/>
              </w:rPr>
            </w:pPr>
            <w:r>
              <w:rPr>
                <w:rFonts w:ascii="Arial" w:cs="Arial" w:eastAsia="Arial" w:hAnsi="Arial"/>
                <w:sz w:val="14"/>
                <w:szCs w:val="14"/>
                <w:b w:val="1"/>
                <w:bCs w:val="1"/>
                <w:color w:val="auto"/>
              </w:rPr>
              <w:t>March 31, 2021</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w w:val="98"/>
              </w:rPr>
              <w:t>Common stock issuable under pre-funded warrants</w:t>
            </w:r>
          </w:p>
        </w:tc>
        <w:tc>
          <w:tcPr>
            <w:tcW w:w="2060" w:type="dxa"/>
            <w:vAlign w:val="bottom"/>
            <w:shd w:val="clear" w:color="auto" w:fill="CFF0FC"/>
          </w:tcPr>
          <w:p>
            <w:pPr>
              <w:spacing w:after="0"/>
              <w:rPr>
                <w:sz w:val="19"/>
                <w:szCs w:val="19"/>
                <w:color w:val="auto"/>
              </w:rPr>
            </w:pPr>
          </w:p>
        </w:tc>
        <w:tc>
          <w:tcPr>
            <w:tcW w:w="28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2,548,117</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4920" w:type="dxa"/>
            <w:vAlign w:val="bottom"/>
            <w:gridSpan w:val="2"/>
          </w:tcPr>
          <w:p>
            <w:pPr>
              <w:jc w:val="right"/>
              <w:ind w:right="36"/>
              <w:spacing w:after="0"/>
              <w:rPr>
                <w:sz w:val="20"/>
                <w:szCs w:val="20"/>
                <w:color w:val="auto"/>
              </w:rPr>
            </w:pPr>
            <w:r>
              <w:rPr>
                <w:rFonts w:ascii="Arial" w:cs="Arial" w:eastAsia="Arial" w:hAnsi="Arial"/>
                <w:sz w:val="18"/>
                <w:szCs w:val="18"/>
                <w:color w:val="auto"/>
              </w:rPr>
              <w:t>1,663,868</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4920" w:type="dxa"/>
            <w:vAlign w:val="bottom"/>
            <w:gridSpan w:val="2"/>
            <w:shd w:val="clear" w:color="auto" w:fill="CFF0FC"/>
          </w:tcPr>
          <w:p>
            <w:pPr>
              <w:jc w:val="right"/>
              <w:ind w:right="36"/>
              <w:spacing w:after="0"/>
              <w:rPr>
                <w:sz w:val="20"/>
                <w:szCs w:val="20"/>
                <w:color w:val="auto"/>
              </w:rPr>
            </w:pPr>
            <w:r>
              <w:rPr>
                <w:rFonts w:ascii="Arial" w:cs="Arial" w:eastAsia="Arial" w:hAnsi="Arial"/>
                <w:sz w:val="18"/>
                <w:szCs w:val="18"/>
                <w:color w:val="auto"/>
              </w:rPr>
              <w:t>708,433</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gridSpan w:val="2"/>
          </w:tcPr>
          <w:p>
            <w:pPr>
              <w:ind w:left="1140"/>
              <w:spacing w:after="0"/>
              <w:rPr>
                <w:sz w:val="20"/>
                <w:szCs w:val="20"/>
                <w:color w:val="auto"/>
              </w:rPr>
            </w:pPr>
            <w:r>
              <w:rPr>
                <w:rFonts w:ascii="Arial" w:cs="Arial" w:eastAsia="Arial" w:hAnsi="Arial"/>
                <w:sz w:val="18"/>
                <w:szCs w:val="18"/>
                <w:color w:val="auto"/>
              </w:rPr>
              <w:t>Total</w:t>
            </w:r>
          </w:p>
        </w:tc>
        <w:tc>
          <w:tcPr>
            <w:tcW w:w="2060" w:type="dxa"/>
            <w:vAlign w:val="bottom"/>
          </w:tcPr>
          <w:p>
            <w:pPr>
              <w:spacing w:after="0"/>
              <w:rPr>
                <w:sz w:val="19"/>
                <w:szCs w:val="19"/>
                <w:color w:val="auto"/>
              </w:rPr>
            </w:pPr>
          </w:p>
        </w:tc>
        <w:tc>
          <w:tcPr>
            <w:tcW w:w="28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4,920,418</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060" w:type="dxa"/>
            <w:vAlign w:val="bottom"/>
            <w:vMerge w:val="restart"/>
          </w:tcPr>
          <w:p>
            <w:pPr>
              <w:jc w:val="right"/>
              <w:ind w:right="1510"/>
              <w:spacing w:after="0"/>
              <w:rPr>
                <w:sz w:val="20"/>
                <w:szCs w:val="20"/>
                <w:color w:val="auto"/>
              </w:rPr>
            </w:pPr>
            <w:r>
              <w:rPr>
                <w:rFonts w:ascii="Arial" w:cs="Arial" w:eastAsia="Arial" w:hAnsi="Arial"/>
                <w:sz w:val="18"/>
                <w:szCs w:val="18"/>
                <w:color w:val="auto"/>
              </w:rPr>
              <w:t>8</w:t>
            </w:r>
          </w:p>
        </w:tc>
        <w:tc>
          <w:tcPr>
            <w:tcW w:w="286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1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2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28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 w:name="page12"/>
    <w:bookmarkEnd w:id="11"/>
    <w:p>
      <w:pPr>
        <w:ind w:left="500" w:hanging="492"/>
        <w:spacing w:after="0" w:line="207" w:lineRule="exact"/>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Compensation and Equity Incentive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Plans</w:t>
      </w:r>
    </w:p>
    <w:p>
      <w:pPr>
        <w:spacing w:after="0" w:line="117" w:lineRule="exact"/>
        <w:rPr>
          <w:sz w:val="20"/>
          <w:szCs w:val="20"/>
          <w:color w:val="auto"/>
        </w:rPr>
      </w:pPr>
    </w:p>
    <w:p>
      <w:pPr>
        <w:ind w:right="140" w:firstLine="510"/>
        <w:spacing w:after="0" w:line="308" w:lineRule="auto"/>
        <w:rPr>
          <w:sz w:val="20"/>
          <w:szCs w:val="20"/>
          <w:color w:val="auto"/>
        </w:rPr>
      </w:pPr>
      <w:r>
        <w:rPr>
          <w:rFonts w:ascii="Arial" w:cs="Arial" w:eastAsia="Arial" w:hAnsi="Arial"/>
          <w:sz w:val="17"/>
          <w:szCs w:val="17"/>
          <w:color w:val="auto"/>
        </w:rPr>
        <w:t>Pursuant to the evergreen provision of the 2015 Equity Incentive Award Plan (the “2015 Plan”), which allows for an annual increase in the number of shares of common stock available for issuance, the Company added 1,909,163 shares to the 2015 Plan on January 1, 2021.</w:t>
      </w:r>
    </w:p>
    <w:p>
      <w:pPr>
        <w:spacing w:after="0" w:line="146" w:lineRule="exact"/>
        <w:rPr>
          <w:sz w:val="20"/>
          <w:szCs w:val="20"/>
          <w:color w:val="auto"/>
        </w:rPr>
      </w:pPr>
    </w:p>
    <w:p>
      <w:pPr>
        <w:ind w:right="160" w:firstLine="510"/>
        <w:spacing w:after="0" w:line="286" w:lineRule="auto"/>
        <w:rPr>
          <w:sz w:val="20"/>
          <w:szCs w:val="20"/>
          <w:color w:val="auto"/>
        </w:rPr>
      </w:pPr>
      <w:r>
        <w:rPr>
          <w:rFonts w:ascii="Arial" w:cs="Arial" w:eastAsia="Arial" w:hAnsi="Arial"/>
          <w:sz w:val="17"/>
          <w:szCs w:val="17"/>
          <w:color w:val="auto"/>
        </w:rPr>
        <w:t>Pursuant to the evergreen provision of the 2015 Employee Stock Purchase Plan (“ESPP”), which allows for an annual increase in the number of shares of common stock available for issuance, the Company added 381,832 shares to the ESPP on January 1, 2021. There were 19,061 options exercised to purchase shares of common stock under the ESPP during the three months ended March 31, 2021.</w:t>
      </w:r>
    </w:p>
    <w:p>
      <w:pPr>
        <w:spacing w:after="0" w:line="165"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 xml:space="preserve">For a full description of the Company’s equity plans, refer to Note 9, </w:t>
      </w:r>
      <w:r>
        <w:rPr>
          <w:rFonts w:ascii="Arial" w:cs="Arial" w:eastAsia="Arial" w:hAnsi="Arial"/>
          <w:sz w:val="18"/>
          <w:szCs w:val="18"/>
          <w:i w:val="1"/>
          <w:iCs w:val="1"/>
          <w:color w:val="auto"/>
        </w:rPr>
        <w:t>Equity-based Compensation and Equity Incentive Plans</w:t>
      </w:r>
      <w:r>
        <w:rPr>
          <w:rFonts w:ascii="Arial" w:cs="Arial" w:eastAsia="Arial" w:hAnsi="Arial"/>
          <w:sz w:val="18"/>
          <w:szCs w:val="18"/>
          <w:color w:val="auto"/>
        </w:rPr>
        <w:t xml:space="preserve"> in the Company’s 2020 Annual Report.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stock option activity during the three months ended March 31, 2021.</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Stock options outstanding</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5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Weighted</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remaining</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r>
      <w:tr>
        <w:trPr>
          <w:trHeight w:val="186"/>
        </w:trPr>
        <w:tc>
          <w:tcPr>
            <w:tcW w:w="5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average</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contractual</w:t>
            </w: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intrinsic</w:t>
            </w:r>
          </w:p>
        </w:tc>
      </w:tr>
      <w:tr>
        <w:trPr>
          <w:trHeight w:val="219"/>
        </w:trPr>
        <w:tc>
          <w:tcPr>
            <w:tcW w:w="524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exercise</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term</w:t>
            </w:r>
          </w:p>
        </w:tc>
        <w:tc>
          <w:tcPr>
            <w:tcW w:w="140" w:type="dxa"/>
            <w:vAlign w:val="bottom"/>
          </w:tcPr>
          <w:p>
            <w:pPr>
              <w:spacing w:after="0"/>
              <w:rPr>
                <w:sz w:val="19"/>
                <w:szCs w:val="19"/>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 xml:space="preserve">value </w:t>
            </w:r>
            <w:r>
              <w:rPr>
                <w:rFonts w:ascii="Arial" w:cs="Arial" w:eastAsia="Arial" w:hAnsi="Arial"/>
                <w:sz w:val="12"/>
                <w:szCs w:val="12"/>
                <w:b w:val="1"/>
                <w:bCs w:val="1"/>
                <w:color w:val="auto"/>
                <w:w w:val="91"/>
              </w:rPr>
              <w:t>(a)</w:t>
            </w:r>
          </w:p>
        </w:tc>
      </w:tr>
      <w:tr>
        <w:trPr>
          <w:trHeight w:val="171"/>
        </w:trPr>
        <w:tc>
          <w:tcPr>
            <w:tcW w:w="5240" w:type="dxa"/>
            <w:vAlign w:val="bottom"/>
          </w:tcPr>
          <w:p>
            <w:pPr>
              <w:spacing w:after="0"/>
              <w:rPr>
                <w:sz w:val="14"/>
                <w:szCs w:val="14"/>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price</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 years)</w:t>
            </w: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(in thousands)</w:t>
            </w: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2020</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3,343,836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Granted</w:t>
            </w:r>
          </w:p>
        </w:tc>
        <w:tc>
          <w:tcPr>
            <w:tcW w:w="1000" w:type="dxa"/>
            <w:vAlign w:val="bottom"/>
          </w:tcPr>
          <w:p>
            <w:pPr>
              <w:jc w:val="right"/>
              <w:spacing w:after="0"/>
              <w:rPr>
                <w:sz w:val="20"/>
                <w:szCs w:val="20"/>
                <w:color w:val="auto"/>
              </w:rPr>
            </w:pPr>
            <w:r>
              <w:rPr>
                <w:rFonts w:ascii="Arial" w:cs="Arial" w:eastAsia="Arial" w:hAnsi="Arial"/>
                <w:sz w:val="18"/>
                <w:szCs w:val="18"/>
                <w:color w:val="auto"/>
              </w:rPr>
              <w:t>1,331,478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3.49</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Cancelled/Forfeited</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(97,981)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8.25</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r>
      <w:tr>
        <w:trPr>
          <w:trHeight w:val="223"/>
        </w:trPr>
        <w:tc>
          <w:tcPr>
            <w:tcW w:w="5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March 31, 2021</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4,577,117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2,829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Vested or expected to vest at March 31, 2021</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4,577,117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2,829</w:t>
            </w: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Exercisable at March 31, 2021</w:t>
            </w:r>
          </w:p>
        </w:tc>
        <w:tc>
          <w:tcPr>
            <w:tcW w:w="1000" w:type="dxa"/>
            <w:vAlign w:val="bottom"/>
          </w:tcPr>
          <w:p>
            <w:pPr>
              <w:jc w:val="right"/>
              <w:spacing w:after="0"/>
              <w:rPr>
                <w:sz w:val="20"/>
                <w:szCs w:val="20"/>
                <w:color w:val="auto"/>
              </w:rPr>
            </w:pPr>
            <w:r>
              <w:rPr>
                <w:rFonts w:ascii="Arial" w:cs="Arial" w:eastAsia="Arial" w:hAnsi="Arial"/>
                <w:sz w:val="18"/>
                <w:szCs w:val="18"/>
                <w:color w:val="auto"/>
              </w:rPr>
              <w:t>1,527,574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8.57</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20"/>
                <w:szCs w:val="20"/>
                <w:color w:val="auto"/>
              </w:rPr>
            </w:pPr>
          </w:p>
        </w:tc>
      </w:tr>
    </w:tbl>
    <w:p>
      <w:pPr>
        <w:spacing w:after="0" w:line="241" w:lineRule="exact"/>
        <w:rPr>
          <w:sz w:val="20"/>
          <w:szCs w:val="20"/>
          <w:color w:val="auto"/>
        </w:rPr>
      </w:pPr>
    </w:p>
    <w:p>
      <w:pPr>
        <w:ind w:left="500" w:right="60" w:hanging="492"/>
        <w:spacing w:after="0" w:line="263"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aggregate intrinsic value is calculated as the difference between the exercise price of the options and the fair market value of the underlying common stock for the options that were in the money at March 31, 2021 and December 31, 2020. 2,966,180 and 970,826 options were in the money at March 31, 2021 and December 31, 2020, respectively.</w:t>
      </w:r>
    </w:p>
    <w:p>
      <w:pPr>
        <w:spacing w:after="0" w:line="184" w:lineRule="exact"/>
        <w:rPr>
          <w:sz w:val="20"/>
          <w:szCs w:val="20"/>
          <w:color w:val="auto"/>
        </w:rPr>
      </w:pPr>
    </w:p>
    <w:p>
      <w:pPr>
        <w:jc w:val="both"/>
        <w:ind w:right="80" w:firstLine="510"/>
        <w:spacing w:after="0" w:line="263" w:lineRule="auto"/>
        <w:rPr>
          <w:sz w:val="20"/>
          <w:szCs w:val="20"/>
          <w:color w:val="auto"/>
        </w:rPr>
      </w:pPr>
      <w:r>
        <w:rPr>
          <w:rFonts w:ascii="Arial" w:cs="Arial" w:eastAsia="Arial" w:hAnsi="Arial"/>
          <w:sz w:val="18"/>
          <w:szCs w:val="18"/>
          <w:color w:val="auto"/>
        </w:rPr>
        <w:t>As of March 31, 2021, there was $6.9 million of unrecognized share-based compensation related to unvested stock option grants which is expected to be recognized over a weighted average period of 2.8 years. The total unrecognized share-based compensation cost will be adjusted for actual forfeitures as they occur.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Common Stock</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restricted stock activity during the three months ended March 31, 2021:</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160" w:type="dxa"/>
            <w:vAlign w:val="bottom"/>
            <w:gridSpan w:val="5"/>
          </w:tcPr>
          <w:p>
            <w:pPr>
              <w:ind w:left="780"/>
              <w:spacing w:after="0"/>
              <w:rPr>
                <w:sz w:val="20"/>
                <w:szCs w:val="20"/>
                <w:color w:val="auto"/>
              </w:rPr>
            </w:pPr>
            <w:r>
              <w:rPr>
                <w:rFonts w:ascii="Arial" w:cs="Arial" w:eastAsia="Arial" w:hAnsi="Arial"/>
                <w:sz w:val="14"/>
                <w:szCs w:val="14"/>
                <w:b w:val="1"/>
                <w:bCs w:val="1"/>
                <w:color w:val="auto"/>
              </w:rPr>
              <w:t>Restricted stock awards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139"/>
              <w:spacing w:after="0" w:line="133"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grant date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6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fair value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6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(per share)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December 31, 2020</w:t>
            </w:r>
          </w:p>
        </w:tc>
        <w:tc>
          <w:tcPr>
            <w:tcW w:w="328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478,207</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Granted</w:t>
            </w:r>
          </w:p>
        </w:tc>
        <w:tc>
          <w:tcPr>
            <w:tcW w:w="4660" w:type="dxa"/>
            <w:vAlign w:val="bottom"/>
            <w:gridSpan w:val="2"/>
          </w:tcPr>
          <w:p>
            <w:pPr>
              <w:jc w:val="right"/>
              <w:spacing w:after="0"/>
              <w:rPr>
                <w:sz w:val="20"/>
                <w:szCs w:val="20"/>
                <w:color w:val="auto"/>
              </w:rPr>
            </w:pPr>
            <w:r>
              <w:rPr>
                <w:rFonts w:ascii="Arial" w:cs="Arial" w:eastAsia="Arial" w:hAnsi="Arial"/>
                <w:sz w:val="18"/>
                <w:szCs w:val="18"/>
                <w:color w:val="auto"/>
              </w:rPr>
              <w:t>242,454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492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(302,784)</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Forfeited</w:t>
            </w:r>
          </w:p>
        </w:tc>
        <w:tc>
          <w:tcPr>
            <w:tcW w:w="4920" w:type="dxa"/>
            <w:vAlign w:val="bottom"/>
            <w:gridSpan w:val="3"/>
          </w:tcPr>
          <w:p>
            <w:pPr>
              <w:jc w:val="right"/>
              <w:ind w:right="200"/>
              <w:spacing w:after="0"/>
              <w:rPr>
                <w:sz w:val="20"/>
                <w:szCs w:val="20"/>
                <w:color w:val="auto"/>
              </w:rPr>
            </w:pPr>
            <w:r>
              <w:rPr>
                <w:rFonts w:ascii="Arial" w:cs="Arial" w:eastAsia="Arial" w:hAnsi="Arial"/>
                <w:sz w:val="18"/>
                <w:szCs w:val="18"/>
                <w:color w:val="auto"/>
              </w:rPr>
              <w:t>(2,719)</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March 31, 2021</w:t>
            </w:r>
          </w:p>
        </w:tc>
        <w:tc>
          <w:tcPr>
            <w:tcW w:w="3280" w:type="dxa"/>
            <w:vAlign w:val="bottom"/>
            <w:tcBorders>
              <w:top w:val="single" w:sz="8" w:color="CFF0FC"/>
              <w:bottom w:val="single" w:sz="8" w:color="CFF0FC"/>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415,158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280" w:type="dxa"/>
            <w:vAlign w:val="bottom"/>
            <w:vMerge w:val="restart"/>
          </w:tcPr>
          <w:p>
            <w:pPr>
              <w:jc w:val="right"/>
              <w:ind w:right="1770"/>
              <w:spacing w:after="0"/>
              <w:rPr>
                <w:sz w:val="20"/>
                <w:szCs w:val="20"/>
                <w:color w:val="auto"/>
              </w:rPr>
            </w:pPr>
            <w:r>
              <w:rPr>
                <w:rFonts w:ascii="Arial" w:cs="Arial" w:eastAsia="Arial" w:hAnsi="Arial"/>
                <w:sz w:val="18"/>
                <w:szCs w:val="18"/>
                <w:color w:val="auto"/>
              </w:rPr>
              <w:t>9</w:t>
            </w: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5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ind w:firstLine="510"/>
        <w:spacing w:after="0" w:line="263" w:lineRule="auto"/>
        <w:rPr>
          <w:sz w:val="20"/>
          <w:szCs w:val="20"/>
          <w:color w:val="auto"/>
        </w:rPr>
      </w:pPr>
      <w:r>
        <w:rPr>
          <w:rFonts w:ascii="Arial" w:cs="Arial" w:eastAsia="Arial" w:hAnsi="Arial"/>
          <w:sz w:val="18"/>
          <w:szCs w:val="18"/>
          <w:color w:val="auto"/>
        </w:rPr>
        <w:t>As of March 31, 2021, there was approximately $1.1 million of unrecognized share-based compensation related to restricted stock awards granted, which is expected to be recognized over a weighted average period of 3.8 years. The total unrecognized share-based compensation cost will be adjusted for actual forfeitures as they occur.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jc w:val="both"/>
        <w:ind w:right="180" w:firstLine="510"/>
        <w:spacing w:after="0" w:line="263" w:lineRule="auto"/>
        <w:rPr>
          <w:sz w:val="20"/>
          <w:szCs w:val="20"/>
          <w:color w:val="auto"/>
        </w:rPr>
      </w:pPr>
      <w:r>
        <w:rPr>
          <w:rFonts w:ascii="Arial" w:cs="Arial" w:eastAsia="Arial" w:hAnsi="Arial"/>
          <w:sz w:val="18"/>
          <w:szCs w:val="18"/>
          <w:color w:val="auto"/>
        </w:rPr>
        <w:t>The ESPP is considered a compensatory plan with the related compensation cost expensed over the six-month offering periods. The compensation cost for the three months ended March 31, 2021 was $6,000. There was no compensation expense related to the ESPP for the three months ended March 31,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17"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The Company has recorded total equity-based compensation expense of approximately $0.9 million during the three months ended March 31, 2021 and $1.1 million during the three months ended March 31, 2020.</w:t>
      </w:r>
    </w:p>
    <w:p>
      <w:pPr>
        <w:spacing w:after="0" w:line="170" w:lineRule="exact"/>
        <w:rPr>
          <w:sz w:val="20"/>
          <w:szCs w:val="20"/>
          <w:color w:val="auto"/>
        </w:rPr>
      </w:pPr>
    </w:p>
    <w:p>
      <w:pPr>
        <w:ind w:right="1060" w:firstLine="510"/>
        <w:spacing w:after="0" w:line="223" w:lineRule="exact"/>
        <w:rPr>
          <w:sz w:val="20"/>
          <w:szCs w:val="20"/>
          <w:color w:val="auto"/>
        </w:rPr>
      </w:pPr>
      <w:r>
        <w:rPr>
          <w:rFonts w:ascii="Arial" w:cs="Arial" w:eastAsia="Arial" w:hAnsi="Arial"/>
          <w:sz w:val="18"/>
          <w:szCs w:val="18"/>
          <w:color w:val="auto"/>
        </w:rPr>
        <w:t>The following table summarizes equity</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within the Company’s consolidated statements of operations and comprehensive loss for the three months ended March 31, 2021 and 2020 (in thousands):</w:t>
      </w:r>
    </w:p>
    <w:p>
      <w:pPr>
        <w:spacing w:after="0" w:line="30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4440" w:type="dxa"/>
            <w:vAlign w:val="bottom"/>
            <w:tcBorders>
              <w:bottom w:val="single" w:sz="8" w:color="CFF0FC"/>
            </w:tcBorders>
          </w:tcPr>
          <w:p>
            <w:pPr>
              <w:spacing w:after="0"/>
              <w:rPr>
                <w:sz w:val="13"/>
                <w:szCs w:val="13"/>
                <w:color w:val="auto"/>
              </w:rPr>
            </w:pPr>
          </w:p>
        </w:tc>
        <w:tc>
          <w:tcPr>
            <w:tcW w:w="248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ind w:right="59"/>
              <w:spacing w:after="0" w:line="155"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223"/>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4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3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w:t>
            </w:r>
          </w:p>
        </w:tc>
        <w:tc>
          <w:tcPr>
            <w:tcW w:w="120" w:type="dxa"/>
            <w:vAlign w:val="bottom"/>
            <w:shd w:val="clear" w:color="auto" w:fill="CFF0FC"/>
          </w:tcPr>
          <w:p>
            <w:pPr>
              <w:spacing w:after="0"/>
              <w:rPr>
                <w:sz w:val="19"/>
                <w:szCs w:val="19"/>
                <w:color w:val="auto"/>
              </w:rPr>
            </w:pPr>
          </w:p>
        </w:tc>
      </w:tr>
      <w:tr>
        <w:trPr>
          <w:trHeight w:val="229"/>
        </w:trPr>
        <w:tc>
          <w:tcPr>
            <w:tcW w:w="4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4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26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120" w:type="dxa"/>
            <w:vAlign w:val="bottom"/>
            <w:tcBorders>
              <w:bottom w:val="single" w:sz="8" w:color="CFF0FC"/>
            </w:tcBorders>
          </w:tcPr>
          <w:p>
            <w:pPr>
              <w:spacing w:after="0"/>
              <w:rPr>
                <w:sz w:val="19"/>
                <w:szCs w:val="19"/>
                <w:color w:val="auto"/>
              </w:rPr>
            </w:pPr>
          </w:p>
        </w:tc>
      </w:tr>
      <w:tr>
        <w:trPr>
          <w:trHeight w:val="223"/>
        </w:trPr>
        <w:tc>
          <w:tcPr>
            <w:tcW w:w="4440" w:type="dxa"/>
            <w:vAlign w:val="bottom"/>
            <w:tcBorders>
              <w:bottom w:val="single" w:sz="8" w:color="CFF0FC"/>
            </w:tcBorders>
            <w:shd w:val="clear" w:color="auto" w:fill="CFF0FC"/>
          </w:tcPr>
          <w:p>
            <w:pPr>
              <w:spacing w:after="0"/>
              <w:rPr>
                <w:sz w:val="19"/>
                <w:szCs w:val="19"/>
                <w:color w:val="auto"/>
              </w:rPr>
            </w:pPr>
          </w:p>
        </w:tc>
        <w:tc>
          <w:tcPr>
            <w:tcW w:w="24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877</w:t>
            </w:r>
          </w:p>
        </w:tc>
        <w:tc>
          <w:tcPr>
            <w:tcW w:w="2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3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6" w:lineRule="exact"/>
        <w:rPr>
          <w:sz w:val="20"/>
          <w:szCs w:val="20"/>
          <w:color w:val="auto"/>
        </w:rPr>
      </w:pPr>
    </w:p>
    <w:p>
      <w:pPr>
        <w:ind w:right="360" w:firstLine="510"/>
        <w:spacing w:after="0" w:line="223" w:lineRule="exact"/>
        <w:rPr>
          <w:sz w:val="20"/>
          <w:szCs w:val="20"/>
          <w:color w:val="auto"/>
        </w:rPr>
      </w:pPr>
      <w:r>
        <w:rPr>
          <w:rFonts w:ascii="Arial" w:cs="Arial" w:eastAsia="Arial" w:hAnsi="Arial"/>
          <w:sz w:val="18"/>
          <w:szCs w:val="18"/>
          <w:color w:val="auto"/>
        </w:rPr>
        <w:t>The following table summarizes equity</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by type of award for the three months ended March 31, 2021 and 2020 (in thousands):</w:t>
      </w:r>
    </w:p>
    <w:p>
      <w:pPr>
        <w:spacing w:after="0" w:line="27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940" w:type="dxa"/>
            <w:vAlign w:val="bottom"/>
          </w:tcPr>
          <w:p>
            <w:pPr>
              <w:spacing w:after="0"/>
              <w:rPr>
                <w:sz w:val="14"/>
                <w:szCs w:val="14"/>
                <w:color w:val="auto"/>
              </w:rPr>
            </w:pPr>
          </w:p>
        </w:tc>
        <w:tc>
          <w:tcPr>
            <w:tcW w:w="2580" w:type="dxa"/>
            <w:vAlign w:val="bottom"/>
            <w:tcBorders>
              <w:bottom w:val="single" w:sz="8" w:color="auto"/>
            </w:tcBorders>
            <w:gridSpan w:val="5"/>
          </w:tcPr>
          <w:p>
            <w:pPr>
              <w:jc w:val="right"/>
              <w:ind w:right="29"/>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6940" w:type="dxa"/>
            <w:vAlign w:val="bottom"/>
          </w:tcPr>
          <w:p>
            <w:pPr>
              <w:spacing w:after="0"/>
              <w:rPr>
                <w:sz w:val="13"/>
                <w:szCs w:val="13"/>
                <w:color w:val="auto"/>
              </w:rPr>
            </w:pPr>
          </w:p>
        </w:tc>
        <w:tc>
          <w:tcPr>
            <w:tcW w:w="980" w:type="dxa"/>
            <w:vAlign w:val="bottom"/>
          </w:tcPr>
          <w:p>
            <w:pPr>
              <w:jc w:val="right"/>
              <w:ind w:right="67"/>
              <w:spacing w:after="0" w:line="155" w:lineRule="exact"/>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gridSpan w:val="2"/>
          </w:tcPr>
          <w:p>
            <w:pPr>
              <w:jc w:val="right"/>
              <w:ind w:right="29"/>
              <w:spacing w:after="0" w:line="155" w:lineRule="exact"/>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6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options</w:t>
            </w:r>
          </w:p>
        </w:tc>
        <w:tc>
          <w:tcPr>
            <w:tcW w:w="980" w:type="dxa"/>
            <w:vAlign w:val="bottom"/>
            <w:tcBorders>
              <w:top w:val="single" w:sz="8" w:color="auto"/>
            </w:tcBorders>
            <w:shd w:val="clear" w:color="auto" w:fill="CFF0FC"/>
          </w:tcPr>
          <w:p>
            <w:pPr>
              <w:jc w:val="right"/>
              <w:ind w:right="82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ind w:right="789"/>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Restricted stock awards</w:t>
            </w:r>
          </w:p>
        </w:tc>
        <w:tc>
          <w:tcPr>
            <w:tcW w:w="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r>
      <w:tr>
        <w:trPr>
          <w:trHeight w:val="230"/>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ESPP</w:t>
            </w:r>
          </w:p>
        </w:tc>
        <w:tc>
          <w:tcPr>
            <w:tcW w:w="9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69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82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877</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789"/>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1,095</w:t>
            </w:r>
          </w:p>
        </w:tc>
        <w:tc>
          <w:tcPr>
            <w:tcW w:w="100" w:type="dxa"/>
            <w:vAlign w:val="bottom"/>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3"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 Agreements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Ginkgo Collaboration</w:t>
      </w:r>
    </w:p>
    <w:p>
      <w:pPr>
        <w:spacing w:after="0" w:line="131"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In 2017, the Company established a technology collaboration with Ginkgo. In June 2019, the Company expanded its collaboration and entered into an agreement with Ginkgo for the research and development of engineered microbial therapeutic products (See Note 7). Under the 2019 expanded agreement, the Company made a prepayment to Ginkgo of $30.0 million for its foundry services that will be provided to the Company over an initial term of five years. The prepayment of foundry services is recorded in Prepaid expenses and other current assets and Prepaid research and development, net of current portion on the March 31, 2021 consolidated balance sheet. At March 31, 2021, the Company had remaining balances of $5.1 million and $7.6 million of current and non-current pre-paid research and development costs related to this transaction, respectively. Upon the expiration of such initial term and, if applicable, an additional period, any portion of the prepayment that has not been used to purchase services from Ginkgo will be retained by Ginkgo.</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AbbVie Collaboration Agreement</w:t>
      </w:r>
    </w:p>
    <w:p>
      <w:pPr>
        <w:spacing w:after="0" w:line="117" w:lineRule="exact"/>
        <w:rPr>
          <w:sz w:val="20"/>
          <w:szCs w:val="20"/>
          <w:color w:val="auto"/>
        </w:rPr>
      </w:pPr>
    </w:p>
    <w:p>
      <w:pPr>
        <w:jc w:val="both"/>
        <w:ind w:right="160" w:firstLine="510"/>
        <w:spacing w:after="0" w:line="301" w:lineRule="auto"/>
        <w:rPr>
          <w:sz w:val="20"/>
          <w:szCs w:val="20"/>
          <w:color w:val="auto"/>
        </w:rPr>
      </w:pPr>
      <w:r>
        <w:rPr>
          <w:rFonts w:ascii="Arial" w:cs="Arial" w:eastAsia="Arial" w:hAnsi="Arial"/>
          <w:sz w:val="16"/>
          <w:szCs w:val="16"/>
          <w:color w:val="auto"/>
        </w:rPr>
        <w:t>In May 2020, we announced the termination of our collaboration with AbbVie to develop Synthetic Biotic medicines for the treatment of types of IBD, including Crohn’s disease and ulcerative colitis. Upon termination, we regained all rights to develop these and new IBD Synthetic Biotic medicines for all effectors targeting IBD. This allows us to fully leverage our expertise in strain engineering, quantitative biology, regulatory, and manufacturing to expand our wholly owned GI-based program portfolio to include IBD. We further regained the rights to partner these IBD programs.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25" w:right="359" w:bottom="1440" w:gutter="0" w:footer="0" w:header="0"/>
        </w:sectPr>
      </w:pPr>
    </w:p>
    <w:bookmarkStart w:id="13" w:name="page14"/>
    <w:bookmarkEnd w:id="13"/>
    <w:p>
      <w:pPr>
        <w:ind w:right="20" w:firstLine="510"/>
        <w:spacing w:after="0" w:line="257" w:lineRule="auto"/>
        <w:rPr>
          <w:sz w:val="20"/>
          <w:szCs w:val="20"/>
          <w:color w:val="auto"/>
        </w:rPr>
      </w:pPr>
      <w:r>
        <w:rPr>
          <w:rFonts w:ascii="Arial" w:cs="Arial" w:eastAsia="Arial" w:hAnsi="Arial"/>
          <w:sz w:val="18"/>
          <w:szCs w:val="18"/>
          <w:color w:val="auto"/>
        </w:rPr>
        <w:t>Revenue associated with performance obligations under the AbbVie Agreement was recognized as the research and development services were provided using an input method, according to the full-time equivalents incurred. The research and development activities were expected to be performed over a period of approximately 54 months. The transfer of control occurs over time and, in management’s judgment, was the best measure of progress towards satisfying the performance obligation. The amounts received that had not yet been recognized as revenue were recorded in deferred revenue on the Company’s consolidated balance sheet.</w:t>
      </w:r>
    </w:p>
    <w:p>
      <w:pPr>
        <w:spacing w:after="0" w:line="188"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Company recognized no revenue for the three months ended March 31, 2021 and $0.1 million for the corresponding period in 2020. There is no deferred revenue on the Company’s consolidated balance sheet as of March 31, 2021, as the remainder of the revenue was recognized when the agreement was terminated.</w:t>
      </w:r>
    </w:p>
    <w:p>
      <w:pPr>
        <w:spacing w:after="0" w:line="288"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80" w:firstLine="510"/>
        <w:spacing w:after="0" w:line="272" w:lineRule="auto"/>
        <w:rPr>
          <w:sz w:val="20"/>
          <w:szCs w:val="20"/>
          <w:color w:val="auto"/>
        </w:rPr>
      </w:pPr>
      <w:r>
        <w:rPr>
          <w:rFonts w:ascii="Arial" w:cs="Arial" w:eastAsia="Arial" w:hAnsi="Arial"/>
          <w:sz w:val="17"/>
          <w:szCs w:val="17"/>
          <w:color w:val="auto"/>
        </w:rPr>
        <w:t>Basic net loss per share is computed using the weighted-average number of shares of common stock outstanding during the period. Diluted net loss per share is computed using the sum of the weighted-average number of shares of common stock outstanding during the period and if dilutive, the weighted-average number of potential shares of common stock, including unvested restricted common stock and outstanding stock options. In June 2019, the Company sold 6,340,771 shares of common stock and Pre-Funded Warrants to purchase an aggregate of 2,548,117 shares of common stock at an exercise price of $9.00 per share, with $8.99 of such exercise price paid at the closing of the offering (see Note 10</w:t>
      </w:r>
      <w:r>
        <w:rPr>
          <w:rFonts w:ascii="Arial" w:cs="Arial" w:eastAsia="Arial" w:hAnsi="Arial"/>
          <w:sz w:val="17"/>
          <w:szCs w:val="17"/>
          <w:i w:val="1"/>
          <w:iCs w:val="1"/>
          <w:color w:val="auto"/>
        </w:rPr>
        <w:t>, Ginkgo Collaboration,</w:t>
      </w:r>
      <w:r>
        <w:rPr>
          <w:rFonts w:ascii="Arial" w:cs="Arial" w:eastAsia="Arial" w:hAnsi="Arial"/>
          <w:sz w:val="17"/>
          <w:szCs w:val="17"/>
          <w:color w:val="auto"/>
        </w:rPr>
        <w:t xml:space="preserve"> in the audited financial statements included in the Company’s 2020 Annual Report). The shares of common stock into which the warrants may be exercised are considered outstanding for the purposes of computing net loss per share.</w:t>
      </w:r>
    </w:p>
    <w:p>
      <w:pPr>
        <w:spacing w:after="0" w:line="177" w:lineRule="exact"/>
        <w:rPr>
          <w:sz w:val="20"/>
          <w:szCs w:val="20"/>
          <w:color w:val="auto"/>
        </w:rPr>
      </w:pPr>
    </w:p>
    <w:p>
      <w:pPr>
        <w:ind w:right="120" w:firstLine="510"/>
        <w:spacing w:after="0" w:line="308" w:lineRule="auto"/>
        <w:rPr>
          <w:sz w:val="20"/>
          <w:szCs w:val="20"/>
          <w:color w:val="auto"/>
        </w:rPr>
      </w:pPr>
      <w:r>
        <w:rPr>
          <w:rFonts w:ascii="Arial" w:cs="Arial" w:eastAsia="Arial" w:hAnsi="Arial"/>
          <w:sz w:val="17"/>
          <w:szCs w:val="17"/>
          <w:color w:val="auto"/>
        </w:rPr>
        <w:t>The Company’s potentially dilutive shares, which include outstanding stock options and unvested restricted common stock/units, are considered to be common share equivalents and are only included in the calculation of diluted net loss per share when their effect is dilutive.</w:t>
      </w:r>
    </w:p>
    <w:p>
      <w:pPr>
        <w:spacing w:after="0" w:line="146" w:lineRule="exact"/>
        <w:rPr>
          <w:sz w:val="20"/>
          <w:szCs w:val="20"/>
          <w:color w:val="auto"/>
        </w:rPr>
      </w:pPr>
    </w:p>
    <w:p>
      <w:pPr>
        <w:ind w:right="360" w:firstLine="510"/>
        <w:spacing w:after="0" w:line="291" w:lineRule="auto"/>
        <w:rPr>
          <w:sz w:val="20"/>
          <w:szCs w:val="20"/>
          <w:color w:val="auto"/>
        </w:rPr>
      </w:pPr>
      <w:r>
        <w:rPr>
          <w:rFonts w:ascii="Arial" w:cs="Arial" w:eastAsia="Arial" w:hAnsi="Arial"/>
          <w:sz w:val="16"/>
          <w:szCs w:val="16"/>
          <w:color w:val="auto"/>
        </w:rPr>
        <w:t>The following potential common shares, presented based on amounts outstanding at each period end, were excluded from the calculation of the diluted net loss per share attributable to common stockholders for the period indicated because including them would have had an anti-dilutive effect.</w:t>
      </w:r>
    </w:p>
    <w:tbl>
      <w:tblPr>
        <w:tblLayout w:type="fixed"/>
        <w:tblInd w:w="1140" w:type="dxa"/>
        <w:tblCellMar>
          <w:top w:w="0" w:type="dxa"/>
          <w:left w:w="0" w:type="dxa"/>
          <w:bottom w:w="0" w:type="dxa"/>
          <w:right w:w="0" w:type="dxa"/>
        </w:tblCellMar>
      </w:tblPr>
      <w:tr>
        <w:trPr>
          <w:trHeight w:val="162"/>
        </w:trPr>
        <w:tc>
          <w:tcPr>
            <w:tcW w:w="6180" w:type="dxa"/>
            <w:vAlign w:val="bottom"/>
          </w:tcPr>
          <w:p>
            <w:pPr>
              <w:spacing w:after="0"/>
              <w:rPr>
                <w:sz w:val="14"/>
                <w:szCs w:val="14"/>
                <w:color w:val="auto"/>
              </w:rPr>
            </w:pPr>
          </w:p>
        </w:tc>
        <w:tc>
          <w:tcPr>
            <w:tcW w:w="190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As of March 31,</w:t>
            </w:r>
          </w:p>
        </w:tc>
        <w:tc>
          <w:tcPr>
            <w:tcW w:w="900" w:type="dxa"/>
            <w:vAlign w:val="bottom"/>
            <w:tcBorders>
              <w:bottom w:val="single" w:sz="8" w:color="auto"/>
            </w:tcBorders>
          </w:tcPr>
          <w:p>
            <w:pPr>
              <w:spacing w:after="0"/>
              <w:rPr>
                <w:sz w:val="14"/>
                <w:szCs w:val="14"/>
                <w:color w:val="auto"/>
              </w:rPr>
            </w:pPr>
          </w:p>
        </w:tc>
      </w:tr>
      <w:tr>
        <w:trPr>
          <w:trHeight w:val="156"/>
        </w:trPr>
        <w:tc>
          <w:tcPr>
            <w:tcW w:w="6180" w:type="dxa"/>
            <w:vAlign w:val="bottom"/>
            <w:tcBorders>
              <w:bottom w:val="single" w:sz="8" w:color="CFF0FC"/>
            </w:tcBorders>
          </w:tcPr>
          <w:p>
            <w:pPr>
              <w:spacing w:after="0"/>
              <w:rPr>
                <w:sz w:val="13"/>
                <w:szCs w:val="13"/>
                <w:color w:val="auto"/>
              </w:rPr>
            </w:pPr>
          </w:p>
        </w:tc>
        <w:tc>
          <w:tcPr>
            <w:tcW w:w="1320" w:type="dxa"/>
            <w:vAlign w:val="bottom"/>
            <w:tcBorders>
              <w:bottom w:val="single" w:sz="8" w:color="auto"/>
            </w:tcBorders>
          </w:tcPr>
          <w:p>
            <w:pPr>
              <w:jc w:val="right"/>
              <w:ind w:right="497"/>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95"/>
              <w:spacing w:after="0" w:line="155" w:lineRule="exact"/>
              <w:rPr>
                <w:sz w:val="20"/>
                <w:szCs w:val="20"/>
                <w:color w:val="auto"/>
              </w:rPr>
            </w:pPr>
            <w:r>
              <w:rPr>
                <w:rFonts w:ascii="Arial" w:cs="Arial" w:eastAsia="Arial" w:hAnsi="Arial"/>
                <w:sz w:val="14"/>
                <w:szCs w:val="14"/>
                <w:b w:val="1"/>
                <w:bCs w:val="1"/>
                <w:color w:val="auto"/>
                <w:w w:val="96"/>
              </w:rPr>
              <w:t>2020</w:t>
            </w:r>
          </w:p>
        </w:tc>
      </w:tr>
      <w:tr>
        <w:trPr>
          <w:trHeight w:val="223"/>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Unvested restricted common stock awards</w:t>
            </w:r>
          </w:p>
        </w:tc>
        <w:tc>
          <w:tcPr>
            <w:tcW w:w="132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415,158</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770,191</w:t>
            </w: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Outstanding options to purchase common stock</w:t>
            </w: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4,577,117</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w w:val="97"/>
              </w:rPr>
              <w:t>3,252,459</w:t>
            </w:r>
          </w:p>
        </w:tc>
      </w:tr>
      <w:tr>
        <w:trPr>
          <w:trHeight w:val="230"/>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Potential shares issuable under the ESPP</w:t>
            </w:r>
          </w:p>
        </w:tc>
        <w:tc>
          <w:tcPr>
            <w:tcW w:w="1900" w:type="dxa"/>
            <w:vAlign w:val="bottom"/>
            <w:gridSpan w:val="3"/>
            <w:shd w:val="clear" w:color="auto" w:fill="CFF0FC"/>
          </w:tcPr>
          <w:p>
            <w:pPr>
              <w:jc w:val="right"/>
              <w:ind w:right="6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362"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 The Company is not currently a party to any material legal proceedings.</w:t>
      </w:r>
    </w:p>
    <w:p>
      <w:pPr>
        <w:spacing w:after="0" w:line="187"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The Company’s commitments described in the Company’s consolidated financial statements as of and for the year ended December 31, 2020 and the notes thereto included in the Company’s Annual Report on Form 10-K filed with the SEC on March 25, 2021, have had no material changes during the three months ended March 31, 2021.</w:t>
      </w:r>
    </w:p>
    <w:p>
      <w:pPr>
        <w:spacing w:after="0" w:line="288"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121" w:lineRule="exact"/>
        <w:rPr>
          <w:sz w:val="20"/>
          <w:szCs w:val="20"/>
          <w:color w:val="auto"/>
        </w:rPr>
      </w:pPr>
    </w:p>
    <w:p>
      <w:pPr>
        <w:jc w:val="both"/>
        <w:ind w:right="100" w:firstLine="510"/>
        <w:spacing w:after="0" w:line="286" w:lineRule="auto"/>
        <w:rPr>
          <w:sz w:val="20"/>
          <w:szCs w:val="20"/>
          <w:color w:val="auto"/>
        </w:rPr>
      </w:pPr>
      <w:r>
        <w:rPr>
          <w:rFonts w:ascii="Arial" w:cs="Arial" w:eastAsia="Arial" w:hAnsi="Arial"/>
          <w:sz w:val="17"/>
          <w:szCs w:val="17"/>
          <w:color w:val="auto"/>
        </w:rPr>
        <w:t xml:space="preserve">In June 2019, the Company expanded its collaboration and entered into an agreement with Ginkgo for the research and development of engineered microbial therapeutic products. As of March 31, 2021, Ginkgo owns 6,340,771 shares of the Company’s outstanding common stock. See Note 10, </w:t>
      </w:r>
      <w:r>
        <w:rPr>
          <w:rFonts w:ascii="Arial" w:cs="Arial" w:eastAsia="Arial" w:hAnsi="Arial"/>
          <w:sz w:val="17"/>
          <w:szCs w:val="17"/>
          <w:i w:val="1"/>
          <w:iCs w:val="1"/>
          <w:color w:val="auto"/>
        </w:rPr>
        <w:t>Ginkgo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Collaboration, </w:t>
      </w:r>
      <w:r>
        <w:rPr>
          <w:rFonts w:ascii="Arial" w:cs="Arial" w:eastAsia="Arial" w:hAnsi="Arial"/>
          <w:sz w:val="17"/>
          <w:szCs w:val="17"/>
          <w:color w:val="auto"/>
        </w:rPr>
        <w:t>in the audited financial statements included in the Company’s 2020 Annual Report.</w:t>
      </w:r>
    </w:p>
    <w:p>
      <w:pPr>
        <w:spacing w:after="0" w:line="165"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Under the agreement the Company made a prepayment to Ginkgo of $30.0 million for its foundry services that will be provided to the Company over an initial term of five years. At March 31, 2021, the Company had remaining balances of $5.1 million and $7.6 million of current and non-current pre-paid research and development costs related to this transaction, respectively. For the three months ended March 31, 2021, the Company used $0.9 million of the pre-paid research and development expenses.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(13) Subsequent Events</w:t>
      </w:r>
    </w:p>
    <w:p>
      <w:pPr>
        <w:spacing w:after="0" w:line="229"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In April 2021, the Company sold 11,500,000 shares of its common stock at a public offering price of $3.00 per share pursuant to an underwritten public offering. The net proceeds to the Company from the offering, after deducting the underwriting discounts and commissions and offering expenses payable by the Company, were approximately $32.6 million. All shares of common stock sold in the offering were sold by the Company.</w:t>
      </w:r>
    </w:p>
    <w:p>
      <w:pPr>
        <w:spacing w:after="0" w:line="36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904" w:right="6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121"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i w:val="1"/>
          <w:iCs w:val="1"/>
          <w:color w:val="auto"/>
        </w:rPr>
        <w:t>The interim financial statements and this Management’s Discussion and Analysis of Financial Condition and Results of Operations should be read together with our audited financial statements and accompanying notes for the year ended December 31, 2020 and 2019 included in our Annual Report on Form 10-K filed with the SEC on March 25, 2021 (the “2020 Annual Report”). In addition to historical information, this discussion and analysis contains forward-looking statements within the meaning of Section 27A of the Securities Act of 1933, as amended (the Securities Act), and Section 21E of the Securities Exchange Act of 1934, as amended (the “Exchange Act”). Please see “Risk Factors” beginning on page [23] of this Quarterly Report on Form 10-Q for a discussion of certain risk factors applicable to our business, financial condition, and results of operations. Operating results are not necessarily indicative of results that may occur for the full fiscal year or any other future period. The term “Private Synlogic” refers to Synlogic Operating Company, Inc. (formerly known as Synlogic, Inc.) prior to the consummation of the Merger. Unless otherwise indicated, references to the terms the "combined company”, “Synlogic”, the "Company”, “we”, “our” and “us” refer to Private Synlogic prior to the consummation of the Merger and Synlogic, Inc. (formerly known as Mirna Therapeutics, Inc.) and its subsidiaries upon the consummation of the Merger described herein. The term "Mirna" refers to the Mirna Therapeutics, Inc. and its subsidiaries prior to the Merger.</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135"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Synlogic is a clinical-stage biopharmaceutical company focused on the discovery and development of Synthetic Biotic™ medicines. Synthetic Biotic medicines are generated from Synlogic’s proprietary drug discovery and development platform, leveraging a reproducible, modular approach to synthetic biology to develop beneficial microbes which perform or deliver critical therapeutic functions. Synthetic Biotic medicines are designed to metabolize a toxic substance, compensate for missing or damaged metabolic pathways, or deliver combinations of therapeutic factors. Synlogic’s goal is to discover, develop, and ultimately commercialize Synthetic Biotic medicines. Synlogic’s proprietary pipeline includes Synthetic Biotic medicines for the treatment of metabolic disorders including Phenylketonuria (PKU) and Enteric Hyperoxaluria. We are building a portfolio of partner-able assets in immunology and oncology.</w:t>
      </w:r>
    </w:p>
    <w:p>
      <w:pPr>
        <w:spacing w:after="0" w:line="222" w:lineRule="exact"/>
        <w:rPr>
          <w:sz w:val="20"/>
          <w:szCs w:val="20"/>
          <w:color w:val="auto"/>
        </w:rPr>
      </w:pPr>
    </w:p>
    <w:p>
      <w:pPr>
        <w:ind w:right="320" w:firstLine="510"/>
        <w:spacing w:after="0" w:line="263" w:lineRule="auto"/>
        <w:rPr>
          <w:sz w:val="20"/>
          <w:szCs w:val="20"/>
          <w:color w:val="auto"/>
        </w:rPr>
      </w:pPr>
      <w:r>
        <w:rPr>
          <w:rFonts w:ascii="Arial" w:cs="Arial" w:eastAsia="Arial" w:hAnsi="Arial"/>
          <w:sz w:val="18"/>
          <w:szCs w:val="18"/>
          <w:color w:val="auto"/>
        </w:rPr>
        <w:t>We have established proof of mechanism in healthy volunteers for both of our co-lead Synthetic Biotic medicines for the treatment of metabolic disorders, SYNB1618 for the treatment of PKU and SYNB8802 for the treatment of Enteric Hyperoxaluria. Studies in patients for both programs are ongoing.</w:t>
      </w:r>
    </w:p>
    <w:p>
      <w:pPr>
        <w:spacing w:after="0" w:line="265"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In a clinical trial of SYNB1618, we demonstrated consumption of phenylalanine (Phe) and production of strain specific biomarkers of activity in both healthy volunteers and patients. Phe is an amino acid that accumulates in a rare metabolic disorder known as PKU. We are currently executing a clinical trial of SYNB1618 in patients with PKU, a disease which leads to severe neurocognitive complications and for which patients have few approved therapies today.</w:t>
      </w:r>
    </w:p>
    <w:p>
      <w:pPr>
        <w:spacing w:after="0" w:line="254"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In a clinical trial of SYNB8802, we demonstrated consumption of oxalate in healthy volunteers placed on a high oxalate, low calcium diet to induce temporary Dietary Hyperoxaluria. We are currently executing a clinical trial of SYNB8802 in patients with Enteric Hyperoxaluria, a disease which leads to dangerously high levels of urinary oxalate and for which patients have no approved therapies today.</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Capabilities</w:t>
      </w:r>
    </w:p>
    <w:p>
      <w:pPr>
        <w:spacing w:after="0" w:line="229"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We believe we have the core competencies in synthetic biology and manufacturing, as well as translational medicine, regulatory experience and clinical development to successfully discover and develop our Synthetic Biotic medicines. In June 2019, we announced an expanded collaboration with Ginkgo Bioworks, Inc. (Ginkgo) to complement our in-house expertise in strain design and development. Ginkgo uses software and automation to program and optimize microbial strains at a large scale. Ginkgo’s technology provides us with a synthetic biology-based cell programming platform for testing thousands of microbial strains to accelerate progression of early preclinical leads to drug candidates optimized for clinical development.</w:t>
      </w:r>
    </w:p>
    <w:p>
      <w:pPr>
        <w:spacing w:after="0" w:line="161" w:lineRule="exact"/>
        <w:rPr>
          <w:sz w:val="20"/>
          <w:szCs w:val="20"/>
          <w:color w:val="auto"/>
        </w:rPr>
      </w:pPr>
    </w:p>
    <w:p>
      <w:pPr>
        <w:ind w:right="300" w:firstLine="510"/>
        <w:spacing w:after="0" w:line="259" w:lineRule="auto"/>
        <w:rPr>
          <w:sz w:val="20"/>
          <w:szCs w:val="20"/>
          <w:color w:val="auto"/>
        </w:rPr>
      </w:pPr>
      <w:r>
        <w:rPr>
          <w:rFonts w:ascii="Arial" w:cs="Arial" w:eastAsia="Arial" w:hAnsi="Arial"/>
          <w:sz w:val="18"/>
          <w:szCs w:val="18"/>
          <w:color w:val="auto"/>
        </w:rPr>
        <w:t>While we believe that our Synthetic Biotic platform has potential to address a broad range of diseases, our initial pipeline focus is on metabolic diseases. We will consider leveraging partnerships to advance programs for other diseases including oncology and inflammatory disorders. Our most advanced programs target metabolic diseases that could potentially be treated by oral delivery of Synthetic Biotic medicines. These includes conditions caused by a genetic mutation characterized by a dysfunctional metabolic</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6" w:name="page17"/>
    <w:bookmarkEnd w:id="16"/>
    <w:p>
      <w:pPr>
        <w:ind w:right="60"/>
        <w:spacing w:after="0" w:line="279" w:lineRule="auto"/>
        <w:rPr>
          <w:sz w:val="20"/>
          <w:szCs w:val="20"/>
          <w:color w:val="auto"/>
        </w:rPr>
      </w:pPr>
      <w:r>
        <w:rPr>
          <w:rFonts w:ascii="Arial" w:cs="Arial" w:eastAsia="Arial" w:hAnsi="Arial"/>
          <w:sz w:val="17"/>
          <w:szCs w:val="17"/>
          <w:color w:val="auto"/>
        </w:rPr>
        <w:t>pathway including PKU, as well as acquired metabolic diseases caused by organ dysfunction, such as Enteric Hyperoxaluria. When delivered orally, Synthetic Biotic medicines are designed to function in the gut to consume a disease-causing toxic metabolite with the intended consequence of reducing its systemic or urinary levels. We believe that success in our metabolic disease programs will enable us to demonstrate the potential of our Synthetic Biotic medicines while bringing meaningful change to the lives of patients suffering from these debilitating conditions.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Phenylketonuria</w:t>
      </w:r>
    </w:p>
    <w:p>
      <w:pPr>
        <w:spacing w:after="0" w:line="121" w:lineRule="exact"/>
        <w:rPr>
          <w:sz w:val="20"/>
          <w:szCs w:val="20"/>
          <w:color w:val="auto"/>
        </w:rPr>
      </w:pPr>
    </w:p>
    <w:p>
      <w:pPr>
        <w:ind w:firstLine="578"/>
        <w:spacing w:after="0" w:line="301" w:lineRule="auto"/>
        <w:rPr>
          <w:sz w:val="20"/>
          <w:szCs w:val="20"/>
          <w:color w:val="auto"/>
        </w:rPr>
      </w:pPr>
      <w:r>
        <w:rPr>
          <w:rFonts w:ascii="Arial" w:cs="Arial" w:eastAsia="Arial" w:hAnsi="Arial"/>
          <w:sz w:val="16"/>
          <w:szCs w:val="16"/>
          <w:color w:val="auto"/>
        </w:rPr>
        <w:t>Our most advanced product candidate is SYNB1618, an oral therapy intended for the treatment of PKU, a rare metabolic disease in which an amino acid known as phenylalanine (Phe) accumulates in the body. Elevated levels of Phe are toxic to the brain and can lead to neurological and cognitive deficits. SYNB1618 is designed to function in the gut of patients to reduce excess Phe, with the goal of lowering levels in the blood and other tissues. SYNB1618 has received both Fast Track designation and orphan drug designation for PKU from the U.S. Food and Drug Administration (FDA).</w:t>
      </w:r>
    </w:p>
    <w:p>
      <w:pPr>
        <w:spacing w:after="0" w:line="49" w:lineRule="exact"/>
        <w:rPr>
          <w:sz w:val="20"/>
          <w:szCs w:val="20"/>
          <w:color w:val="auto"/>
        </w:rPr>
      </w:pPr>
    </w:p>
    <w:p>
      <w:pPr>
        <w:ind w:right="40" w:firstLine="578"/>
        <w:spacing w:after="0" w:line="259" w:lineRule="auto"/>
        <w:rPr>
          <w:sz w:val="20"/>
          <w:szCs w:val="20"/>
          <w:color w:val="auto"/>
        </w:rPr>
      </w:pPr>
      <w:r>
        <w:rPr>
          <w:rFonts w:ascii="Arial" w:cs="Arial" w:eastAsia="Arial" w:hAnsi="Arial"/>
          <w:sz w:val="18"/>
          <w:szCs w:val="18"/>
          <w:color w:val="auto"/>
        </w:rPr>
        <w:t>We initiated a Phase 2 clinical trial with SYNB1618 in the third quarter of 2020. The Phase 2 trial, referred to as the SynPheny-1 Study, is designed to evaluate safety and tolerability of a solid formulation of SYNB1618 as well as its potential to lower blood Phe levels in adult PKU patients. The SynPheny-1 Study is designed to be flexible, with subjects physically coming to the clinic or participating from their homes utilizing home healthcare services.</w:t>
      </w:r>
    </w:p>
    <w:p>
      <w:pPr>
        <w:spacing w:after="0" w:line="187" w:lineRule="exact"/>
        <w:rPr>
          <w:sz w:val="20"/>
          <w:szCs w:val="20"/>
          <w:color w:val="auto"/>
        </w:rPr>
      </w:pPr>
    </w:p>
    <w:p>
      <w:pPr>
        <w:ind w:right="140" w:firstLine="578"/>
        <w:spacing w:after="0" w:line="296" w:lineRule="auto"/>
        <w:rPr>
          <w:sz w:val="20"/>
          <w:szCs w:val="20"/>
          <w:color w:val="auto"/>
        </w:rPr>
      </w:pPr>
      <w:r>
        <w:rPr>
          <w:rFonts w:ascii="Arial" w:cs="Arial" w:eastAsia="Arial" w:hAnsi="Arial"/>
          <w:sz w:val="16"/>
          <w:szCs w:val="16"/>
          <w:color w:val="auto"/>
        </w:rPr>
        <w:t>We completed a Phase 1/2a clinical trial of an early liquid formulation of SYNB1618 and announced top-line data from healthy volunteers evaluated in this study in September 2018. In July 2019, we announced data that demonstrated that SYNB1618 was safe and well-tolerated and achieved proof-of-mechanism of strain activity in both healthy volunteers and patients with PKU. Following the study using the liquid formulation, we developed a lyophilized formulation of SYNB1618. We have evaluated this lyophilized formulation in a bridging study in healthy volunteers. The study of this more patient- and commercialization-appropriate presentation of SYNB1618 demonstrated activity and improved tolerability over the early liquid formulation.</w:t>
      </w:r>
    </w:p>
    <w:p>
      <w:pPr>
        <w:spacing w:after="0" w:line="53" w:lineRule="exact"/>
        <w:rPr>
          <w:sz w:val="20"/>
          <w:szCs w:val="20"/>
          <w:color w:val="auto"/>
        </w:rPr>
      </w:pPr>
    </w:p>
    <w:p>
      <w:pPr>
        <w:ind w:right="720" w:firstLine="578"/>
        <w:spacing w:after="0" w:line="277" w:lineRule="auto"/>
        <w:rPr>
          <w:sz w:val="20"/>
          <w:szCs w:val="20"/>
          <w:color w:val="auto"/>
        </w:rPr>
      </w:pPr>
      <w:r>
        <w:rPr>
          <w:rFonts w:ascii="Arial" w:cs="Arial" w:eastAsia="Arial" w:hAnsi="Arial"/>
          <w:sz w:val="18"/>
          <w:szCs w:val="18"/>
          <w:color w:val="auto"/>
        </w:rPr>
        <w:t>SYNB1618 is a member of a family of SYNB strains that consume Phe. We have additional Phe consuming strains for PKU in preclinical development, including SYNB1934.</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Enteric Hyperoxaluria</w:t>
      </w:r>
    </w:p>
    <w:p>
      <w:pPr>
        <w:spacing w:after="0" w:line="121" w:lineRule="exact"/>
        <w:rPr>
          <w:sz w:val="20"/>
          <w:szCs w:val="20"/>
          <w:color w:val="auto"/>
        </w:rPr>
      </w:pPr>
    </w:p>
    <w:p>
      <w:pPr>
        <w:ind w:right="140" w:firstLine="578"/>
        <w:spacing w:after="0" w:line="257" w:lineRule="auto"/>
        <w:rPr>
          <w:sz w:val="20"/>
          <w:szCs w:val="20"/>
          <w:color w:val="auto"/>
        </w:rPr>
      </w:pPr>
      <w:r>
        <w:rPr>
          <w:rFonts w:ascii="Arial" w:cs="Arial" w:eastAsia="Arial" w:hAnsi="Arial"/>
          <w:sz w:val="18"/>
          <w:szCs w:val="18"/>
          <w:color w:val="auto"/>
        </w:rPr>
        <w:t>Enteric Hyperoxaluria is an acquired metabolic disorder. Enteric Hyperoxaluria is caused by increased absorption of dietary oxalate, which is present in many healthy foods such as leafy greens, nuts, and chocolate, making it difficult to control with dietary interventions. Enteric Hyperoxaluria often occurs as a result of a primary insult to the bowel, such as inflammatory bowel disease, short bowel syndrome, or surgical procedures such as Roux-en-Y bariatric weight-loss surgery. The disorder may cause dangerously high levels of urinary oxalate and progressive kidney damage, kidney stone formation, and nephrocalcinosis. There are no approved treatments.</w:t>
      </w:r>
    </w:p>
    <w:p>
      <w:pPr>
        <w:spacing w:after="0" w:line="80" w:lineRule="exact"/>
        <w:rPr>
          <w:sz w:val="20"/>
          <w:szCs w:val="20"/>
          <w:color w:val="auto"/>
        </w:rPr>
      </w:pPr>
    </w:p>
    <w:p>
      <w:pPr>
        <w:ind w:right="80" w:firstLine="578"/>
        <w:spacing w:after="0" w:line="257" w:lineRule="auto"/>
        <w:rPr>
          <w:sz w:val="20"/>
          <w:szCs w:val="20"/>
          <w:color w:val="auto"/>
        </w:rPr>
      </w:pPr>
      <w:r>
        <w:rPr>
          <w:rFonts w:ascii="Arial" w:cs="Arial" w:eastAsia="Arial" w:hAnsi="Arial"/>
          <w:sz w:val="18"/>
          <w:szCs w:val="18"/>
          <w:color w:val="auto"/>
        </w:rPr>
        <w:t>In May 2020, we announced the nomination of a clinical candidate for Enteric Hyperoxaluria, SYNB8802. We initiated a Phase 1 clinical trial of SYNB8802 in the fourth quarter of 2020. This study will assess the safety, tolerability and kinetics of SYNB8802 as well as the effect SYNB8802 has on changes in plasma and urine biomarkers of strain activity, and the potential to reduce urinary oxalate. The study has two parts: Part A is a multiple ascending dose study in healthy volunteers in whom we will induce temporary hyperoxaluria via diet; and Part B is a placebo controlled, cross-over design study in patients with Enteric Hyperoxaluria following Roux-n-Y gastric bypass surgery.</w:t>
      </w:r>
    </w:p>
    <w:p>
      <w:pPr>
        <w:spacing w:after="0" w:line="80"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We announced results of Part A of the Phase 1 study in March 2021. SYNB8802 achieved proof of mechanism and was advanced to Part B of the study. SYNB8802 was generally well tolerated in healthy volunteers. There were no serious or systemic adverse events. Dose responsive changes in urinary oxalate levels were observed with a significant reduction in urinary oxalate relative to placebo across three dose levels, one of which was selected as the Part B dose. Full results of the study will be presented at a future medical meeting.</w:t>
      </w:r>
    </w:p>
    <w:p>
      <w:pPr>
        <w:spacing w:after="0" w:line="35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Oncology</w:t>
      </w:r>
    </w:p>
    <w:p>
      <w:pPr>
        <w:spacing w:after="0" w:line="121"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 xml:space="preserve">We have also developed a portfolio of Synthetic Biotic medicines to treat certain cancers which are designed to modify the tumor microenvironment, activate the immune system and result in tumor reduction. These Synthetic Biotic medicines could be used in combination with other cancer therapies such as checkpoint inhibitors. Our first Synthetic Biotic clinical immuno-oncology (“IO”) candidate is SYNB1891, an intratumorally administered Synthetic Biotic medicine engineered to act as a dual innate and adaptive immune activator. SYNB1891 has been designed to activate the immune response in tumors via the </w:t>
      </w:r>
      <w:r>
        <w:rPr>
          <w:rFonts w:ascii="Arial" w:cs="Arial" w:eastAsia="Arial" w:hAnsi="Arial"/>
          <w:sz w:val="18"/>
          <w:szCs w:val="18"/>
          <w:i w:val="1"/>
          <w:iCs w:val="1"/>
          <w:color w:val="auto"/>
        </w:rPr>
        <w:t>E.coli</w:t>
      </w:r>
      <w:r>
        <w:rPr>
          <w:rFonts w:ascii="Arial" w:cs="Arial" w:eastAsia="Arial" w:hAnsi="Arial"/>
          <w:sz w:val="18"/>
          <w:szCs w:val="18"/>
          <w:color w:val="auto"/>
        </w:rPr>
        <w:t xml:space="preserve"> Nissle chassis and production of cyclic di-AMP, an activator of the Stimulator of Interferon Genes, also referred to as the STING pathway.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 w:name="page18"/>
    <w:bookmarkEnd w:id="17"/>
    <w:p>
      <w:pPr>
        <w:ind w:right="240" w:firstLine="510"/>
        <w:spacing w:after="0" w:line="293" w:lineRule="auto"/>
        <w:rPr>
          <w:sz w:val="20"/>
          <w:szCs w:val="20"/>
          <w:color w:val="auto"/>
        </w:rPr>
      </w:pPr>
      <w:r>
        <w:rPr>
          <w:rFonts w:ascii="Arial" w:cs="Arial" w:eastAsia="Arial" w:hAnsi="Arial"/>
          <w:sz w:val="16"/>
          <w:szCs w:val="16"/>
          <w:color w:val="auto"/>
        </w:rPr>
        <w:t>In January 2020, we treated the first subject in a Phase 1 clinical trial of SYNB1891 in patients with advanced solid tumors and lymphoma. The clinical trial is designed to identify a maximum tolerated dose (MTD) of SYNB1891 delivered as a monotherapy and a recommended Phase 2 dose in combination therapy with the checkpoint inhibitor atezolizumab (Tecentriq), provided through a supply agreement with Roche. Despite the COVID-19 pandemic, the Phase 1 clinical trial has remained open and currently enrolled patients are continuing on trial. New patient enrollment in the study is also continuing. We released interim data from the ongoing monotherapy arm of this trial in December 2020, which demonstrated target engagement and the production of biomarkers consistent with STING activation. In December 2020, we also initiated the combination arm of the Phase 1 clinical trial.</w:t>
      </w:r>
    </w:p>
    <w:p>
      <w:pPr>
        <w:spacing w:after="0" w:line="26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Other Programs</w:t>
      </w:r>
    </w:p>
    <w:p>
      <w:pPr>
        <w:spacing w:after="0" w:line="229"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We are also leveraging our proprietary technology platform to develop Synthetic Biotic medicines to treat a broader range of human diseases. To achieve this goal, we collaborate with key disease experts who have developed robust models of relevant diseases and to inform our translational medicine strategy. These collaborators bring complementary expertise in preclinical development, clinical development and commercialization. Inflammatory bowel disease (IBD) is an attractive target for our technology as Synthetic Biotic medicines can be designed to locally deliver combinations of complementary therapeutics to potentially address the unmet medical need for maintenance of disease remissions. In May 2020, we announced the termination of our collaboration with AbbVie S.à.r.l. (“AbbVie”) to develop Synthetic Biotic medicines for the treatment of types of inflammatory bowel diseases, including Crohn’s disease and ulcerative colitis. Upon termination, we regained all rights to develop these and new IBD Synthetic Biotic medicines for all effectors targeting IBD. This allows us to fully leverage our expertise in strain engineering, quantitative biology, regulatory, and manufacturing to expand our wholly owned GI-based program portfolio to include IBD. We further regained the rights to partner these IBD programs. We may enter into additional strategic partnerships in the future to maximize the value of our programs and our Synthetic Biotic platform.</w:t>
      </w:r>
    </w:p>
    <w:p>
      <w:pPr>
        <w:spacing w:after="0" w:line="168"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We currently operate in one reportable business segment—the discovery and development of Synthetic Biotic medicines. To date, we have dedicated substantially all of our activities to the research and development of our product candidates. As of March 31, 2021, we have received approximately $344.7 million in proceeds as we financed our operations primarily through the sale of preferred stock, common stock, preferred units, warrants, payments received under the AbbVie collaboration agreement, interest earned on investments, and cash received in the Merger.</w:t>
      </w:r>
    </w:p>
    <w:p>
      <w:pPr>
        <w:spacing w:after="0" w:line="171" w:lineRule="exact"/>
        <w:rPr>
          <w:sz w:val="20"/>
          <w:szCs w:val="20"/>
          <w:color w:val="auto"/>
        </w:rPr>
      </w:pPr>
    </w:p>
    <w:p>
      <w:pPr>
        <w:jc w:val="both"/>
        <w:ind w:right="60" w:firstLine="510"/>
        <w:spacing w:after="0" w:line="279" w:lineRule="auto"/>
        <w:rPr>
          <w:sz w:val="20"/>
          <w:szCs w:val="20"/>
          <w:color w:val="auto"/>
        </w:rPr>
      </w:pPr>
      <w:r>
        <w:rPr>
          <w:rFonts w:ascii="Arial" w:cs="Arial" w:eastAsia="Arial" w:hAnsi="Arial"/>
          <w:sz w:val="17"/>
          <w:szCs w:val="17"/>
          <w:color w:val="auto"/>
        </w:rPr>
        <w:t>We have not generated any revenue to date from product sales and have incurred significant operating losses since our inception. We have incurred net losses of approximately $15.0 million and $15.8 million for the three months ended March 31, 2021 and 2020, respectively. As of March 31, 2021, we had an accumulated deficit of approximately $245.3 million, and we expect to incur losses for the foreseeable future as we develop our product candidates. We expect our expenses and capital requirements will increase substantially in connection with our ongoing activities, as we:</w:t>
      </w:r>
    </w:p>
    <w:p>
      <w:pPr>
        <w:spacing w:after="0" w:line="63" w:lineRule="exact"/>
        <w:rPr>
          <w:sz w:val="20"/>
          <w:szCs w:val="20"/>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complete preclinical studies, initiate and complete clinical trials for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contract to manufacture product candidates or manufacture product candidates internally;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advance research and development related activities to expand our product pipeline;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seek regulatory approval for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hire additional staff, including clinical, scientific, and management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expand our existing infrastructure and secure space in a facility to support continued growth in our research and development efforts; and</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 operational and finance personnel to support product development efforts and to support operating as a public company.</w:t>
      </w:r>
    </w:p>
    <w:p>
      <w:pPr>
        <w:spacing w:after="0" w:line="225" w:lineRule="exact"/>
        <w:rPr>
          <w:sz w:val="20"/>
          <w:szCs w:val="20"/>
          <w:color w:val="auto"/>
        </w:rPr>
      </w:pPr>
    </w:p>
    <w:p>
      <w:pPr>
        <w:ind w:right="80" w:firstLine="510"/>
        <w:spacing w:after="0" w:line="290" w:lineRule="auto"/>
        <w:rPr>
          <w:sz w:val="20"/>
          <w:szCs w:val="20"/>
          <w:color w:val="auto"/>
        </w:rPr>
      </w:pPr>
      <w:r>
        <w:rPr>
          <w:rFonts w:ascii="Arial" w:cs="Arial" w:eastAsia="Arial" w:hAnsi="Arial"/>
          <w:sz w:val="16"/>
          <w:szCs w:val="16"/>
          <w:color w:val="auto"/>
        </w:rPr>
        <w:t>We do not expect to generate product revenue unless and until we successfully complete clinical development and obtain regulatory approvals for our product candidates, either alone or in collaboration with third parties. Additionally, we expect to utilize third-party contract research organizations (CROs) and contract manufacturing organizations (CMOs) to carry out our clinical development and manufacturing activities, and we do not yet have a commercial organization. If we obtain regulatory approval for any of our product candidates, we expect to incur significant expenses related to developing our internal commercialization capability to support product sales, marketing and distribution. Accordingly, we anticipate that we will seek to fund our operations through public or private equity or debt financings, collaborations or licenses, finance lease transactions or other available financing transactions. However, we may be unable to raise additional funds through these or other means when needed. Because of the numerous risks and uncertainties associated with product development, we are unable to predict the timing or amount of increased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8" w:name="page19"/>
    <w:bookmarkEnd w:id="18"/>
    <w:p>
      <w:pPr>
        <w:spacing w:after="0"/>
        <w:rPr>
          <w:sz w:val="20"/>
          <w:szCs w:val="20"/>
          <w:color w:val="auto"/>
        </w:rPr>
      </w:pPr>
      <w:r>
        <w:rPr>
          <w:rFonts w:ascii="Arial" w:cs="Arial" w:eastAsia="Arial" w:hAnsi="Arial"/>
          <w:sz w:val="16"/>
          <w:szCs w:val="16"/>
          <w:color w:val="auto"/>
        </w:rPr>
        <w:t>expenses or when or if it will be able to achieve or maintain profitability. Even if we are able to generate product revenue, we may not become profitable.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COVID-19 pandemic on our business</w:t>
      </w:r>
    </w:p>
    <w:p>
      <w:pPr>
        <w:spacing w:after="0" w:line="117" w:lineRule="exact"/>
        <w:rPr>
          <w:sz w:val="20"/>
          <w:szCs w:val="20"/>
          <w:color w:val="auto"/>
        </w:rPr>
      </w:pPr>
    </w:p>
    <w:p>
      <w:pPr>
        <w:ind w:right="120" w:firstLine="510"/>
        <w:spacing w:after="0" w:line="290" w:lineRule="auto"/>
        <w:rPr>
          <w:sz w:val="20"/>
          <w:szCs w:val="20"/>
          <w:color w:val="auto"/>
        </w:rPr>
      </w:pPr>
      <w:r>
        <w:rPr>
          <w:rFonts w:ascii="Arial" w:cs="Arial" w:eastAsia="Arial" w:hAnsi="Arial"/>
          <w:sz w:val="16"/>
          <w:szCs w:val="16"/>
          <w:color w:val="auto"/>
        </w:rPr>
        <w:t>In December 2019, an outbreak of a novel strain of coronavirus was identified in Wuhan, China. This virus continues to spread globally, has been declared a pandemic by the World Health Organization and has spread to over 100 countries, including the United States. The impact of this pandemic has been and will likely continue to be extensive, and has resulted in and will likely continue to result in significant disruptions to businesses and capital markets around the world. The extent to which the coronavirus impacts us will depend on future developments, which are highly uncertain and cannot be predicted, including new information which may emerge concerning the severity of the coronavirus and the actions to contain the coronavirus or treat its impact, among others. Our ability to enroll our clinical trials will be dependent on many factors, including the progression of the pandemic and its impact on patients and the investigators at our clinical trial sites. We are actively working with sites and investigators to mitigate these risks. We continue to carefully monitor the situation with respect to each of our clinical trials and follow guidance from local and federal health authorities.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 xml:space="preserve">Revenue to date was generated from our collaboration agreement with AbbVie. In May 2020, we announced the termination of our collaboration with AbbVie. Upon termination of the collaboration with AbbVie, we regained all rights to develop the IBD Synthetic Biotic medicines previously developed with AbbVie as well as new IBD Synthetic Biotic medicines for all effectors targeting IBD. Due to the termination of this Agreement, we do not expect further revenue from AbbVie. See Note 9, </w:t>
      </w:r>
      <w:r>
        <w:rPr>
          <w:rFonts w:ascii="Arial" w:cs="Arial" w:eastAsia="Arial" w:hAnsi="Arial"/>
          <w:sz w:val="17"/>
          <w:szCs w:val="17"/>
          <w:i w:val="1"/>
          <w:iCs w:val="1"/>
          <w:color w:val="auto"/>
        </w:rPr>
        <w:t>Collaboration Agreements: AbbVie Collaboration</w:t>
      </w:r>
      <w:r>
        <w:rPr>
          <w:rFonts w:ascii="Arial" w:cs="Arial" w:eastAsia="Arial" w:hAnsi="Arial"/>
          <w:sz w:val="17"/>
          <w:szCs w:val="17"/>
          <w:color w:val="auto"/>
        </w:rPr>
        <w:t xml:space="preserve"> in the notes to the unaudited consolidated financial statements appearing elsewhere in this Quarterly Report on Form 10-Q for a full discussion of the arrangement.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420" w:firstLine="510"/>
        <w:spacing w:after="0" w:line="263" w:lineRule="auto"/>
        <w:rPr>
          <w:sz w:val="20"/>
          <w:szCs w:val="20"/>
          <w:color w:val="auto"/>
        </w:rPr>
      </w:pPr>
      <w:r>
        <w:rPr>
          <w:rFonts w:ascii="Arial" w:cs="Arial" w:eastAsia="Arial" w:hAnsi="Arial"/>
          <w:sz w:val="18"/>
          <w:szCs w:val="18"/>
          <w:color w:val="auto"/>
        </w:rPr>
        <w:t>Research and development expense consists of expenses incurred in connection with the discovery and development of our product candidates, including the conduct of preclinical and clinical studies and product development, which are expensed as they are incurred. These expenses consist primarily of:</w:t>
      </w:r>
    </w:p>
    <w:p>
      <w:pPr>
        <w:spacing w:after="0" w:line="76" w:lineRule="exact"/>
        <w:rPr>
          <w:sz w:val="20"/>
          <w:szCs w:val="20"/>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compensation, benefits and other employee related expenses;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supplies to support our internal research and development efforts;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research and development related facility and depreciation costs;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leased manufacturing space;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third-party contract costs relating to research, process and formulation development, preclinical and clinical studies and regulatory operations.</w:t>
      </w:r>
    </w:p>
    <w:p>
      <w:pPr>
        <w:spacing w:after="0" w:line="248"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The lengthy process of securing regulatory approvals for new drugs requires the expenditure of substantial resources. Any delay or failure to obtain regulatory approvals would materially adversely affect our product candidate development efforts and our business overall. Given the inherent uncertainties of pharmaceutical product development, we cannot estimate with any degree of certainty the likelihood, timing or cost of obtaining regulatory approval and marketing our product candidates and thus, when, if ever, our product candidates will generate revenues and cash flows.</w:t>
      </w:r>
    </w:p>
    <w:p>
      <w:pPr>
        <w:spacing w:after="0" w:line="171" w:lineRule="exact"/>
        <w:rPr>
          <w:sz w:val="20"/>
          <w:szCs w:val="20"/>
          <w:color w:val="auto"/>
        </w:rPr>
      </w:pPr>
    </w:p>
    <w:p>
      <w:pPr>
        <w:ind w:right="560" w:firstLine="510"/>
        <w:spacing w:after="0" w:line="342" w:lineRule="auto"/>
        <w:rPr>
          <w:sz w:val="20"/>
          <w:szCs w:val="20"/>
          <w:color w:val="auto"/>
        </w:rPr>
      </w:pPr>
      <w:r>
        <w:rPr>
          <w:rFonts w:ascii="Arial" w:cs="Arial" w:eastAsia="Arial" w:hAnsi="Arial"/>
          <w:sz w:val="16"/>
          <w:szCs w:val="16"/>
          <w:color w:val="auto"/>
        </w:rPr>
        <w:t xml:space="preserve">The successful development of our product candidates is highly uncertain and subject to a number of risks. Refer to the risk factors under the heading </w:t>
      </w:r>
      <w:r>
        <w:rPr>
          <w:rFonts w:ascii="Arial" w:cs="Arial" w:eastAsia="Arial" w:hAnsi="Arial"/>
          <w:sz w:val="16"/>
          <w:szCs w:val="16"/>
          <w:i w:val="1"/>
          <w:iCs w:val="1"/>
          <w:color w:val="auto"/>
        </w:rPr>
        <w:t>Risks Related to the Development of Our Product Candidates</w:t>
      </w:r>
      <w:r>
        <w:rPr>
          <w:rFonts w:ascii="Arial" w:cs="Arial" w:eastAsia="Arial" w:hAnsi="Arial"/>
          <w:sz w:val="16"/>
          <w:szCs w:val="16"/>
          <w:color w:val="auto"/>
        </w:rPr>
        <w:t xml:space="preserve"> in Part II, Item 1A, found elsewhere in this Quarterly Report on Form 10-Q.</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9" w:name="page20"/>
    <w:bookmarkEnd w:id="19"/>
    <w:p>
      <w:pPr>
        <w:ind w:right="20" w:firstLine="510"/>
        <w:spacing w:after="0" w:line="255" w:lineRule="auto"/>
        <w:rPr>
          <w:sz w:val="20"/>
          <w:szCs w:val="20"/>
          <w:color w:val="auto"/>
        </w:rPr>
      </w:pPr>
      <w:r>
        <w:rPr>
          <w:rFonts w:ascii="Arial" w:cs="Arial" w:eastAsia="Arial" w:hAnsi="Arial"/>
          <w:sz w:val="18"/>
          <w:szCs w:val="18"/>
          <w:color w:val="auto"/>
        </w:rPr>
        <w:t>We invest carefully in our pipeline, and the commitment of funding for each subsequent stage of our development programs is dependent upon the receipt of clear, supportive data. We anticipate that we will make determinations as to which additional programs to pursue and how much funding to direct to each program on an ongoing basis in response to the scientific and clinical data of each product candidate, as well as the competitive landscape and ongoing assessments of such product candidate’s commercial potential. We expect our research and development costs will be substantial for the foreseeable future. We expect costs associated with our drug development candidates to increase as the programs progress through clinical trials and new programs progress toward IND and into development.</w:t>
      </w:r>
    </w:p>
    <w:p>
      <w:pPr>
        <w:spacing w:after="0" w:line="192"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We track direct research and development expenses, consisting principally of external costs, such as costs associated with contract research organizations and manufacturing of preclinical and clinical drug product and other outsourced research and development expenses to specific product programs. Costs related to specific product candidates are tracked upon the selection of a product candidate. We do not allocate employee and consulting-related costs, costs associated with our platform and facility expenses, including depreciation or other indirect costs, to specific product candidate programs because these costs are deployed across multiple product candidate programs under research and development and, as such, are separately classified. The table below summarizes our research and development expenses by categories of costs for the periods presented (in thousands):</w:t>
      </w:r>
    </w:p>
    <w:p>
      <w:pPr>
        <w:spacing w:after="0" w:line="237" w:lineRule="exact"/>
        <w:rPr>
          <w:sz w:val="20"/>
          <w:szCs w:val="20"/>
          <w:color w:val="auto"/>
        </w:rPr>
      </w:pPr>
    </w:p>
    <w:p>
      <w:pPr>
        <w:jc w:val="center"/>
        <w:ind w:left="6780"/>
        <w:spacing w:after="0"/>
        <w:rPr>
          <w:sz w:val="20"/>
          <w:szCs w:val="20"/>
          <w:color w:val="auto"/>
        </w:rPr>
      </w:pPr>
      <w:r>
        <w:rPr>
          <w:rFonts w:ascii="Arial" w:cs="Arial" w:eastAsia="Arial" w:hAnsi="Arial"/>
          <w:sz w:val="14"/>
          <w:szCs w:val="14"/>
          <w:b w:val="1"/>
          <w:bCs w:val="1"/>
          <w:color w:val="auto"/>
        </w:rPr>
        <w:t>For the Three Months Ended</w:t>
      </w:r>
    </w:p>
    <w:p>
      <w:pPr>
        <w:spacing w:after="0" w:line="11" w:lineRule="exact"/>
        <w:rPr>
          <w:sz w:val="20"/>
          <w:szCs w:val="20"/>
          <w:color w:val="auto"/>
        </w:rPr>
      </w:pPr>
    </w:p>
    <w:p>
      <w:pPr>
        <w:jc w:val="center"/>
        <w:ind w:left="6780"/>
        <w:spacing w:after="0"/>
        <w:rPr>
          <w:sz w:val="20"/>
          <w:szCs w:val="20"/>
          <w:color w:val="auto"/>
        </w:rPr>
      </w:pPr>
      <w:r>
        <w:rPr>
          <w:rFonts w:ascii="Arial" w:cs="Arial" w:eastAsia="Arial" w:hAnsi="Arial"/>
          <w:sz w:val="14"/>
          <w:szCs w:val="14"/>
          <w:b w:val="1"/>
          <w:bCs w:val="1"/>
          <w:color w:val="auto"/>
        </w:rPr>
        <w:t>March 31,</w:t>
      </w:r>
    </w:p>
    <w:tbl>
      <w:tblPr>
        <w:tblLayout w:type="fixed"/>
        <w:tblInd w:w="580" w:type="dxa"/>
        <w:tblCellMar>
          <w:top w:w="0" w:type="dxa"/>
          <w:left w:w="0" w:type="dxa"/>
          <w:bottom w:w="0" w:type="dxa"/>
          <w:right w:w="0" w:type="dxa"/>
        </w:tblCellMar>
      </w:tblPr>
      <w:tr>
        <w:trPr>
          <w:trHeight w:val="155"/>
        </w:trPr>
        <w:tc>
          <w:tcPr>
            <w:tcW w:w="6900" w:type="dxa"/>
            <w:vAlign w:val="bottom"/>
            <w:tcBorders>
              <w:bottom w:val="single" w:sz="8" w:color="CFF0FC"/>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SYNB1618</w:t>
            </w:r>
          </w:p>
        </w:tc>
        <w:tc>
          <w:tcPr>
            <w:tcW w:w="8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977</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3,634</w:t>
            </w:r>
          </w:p>
        </w:tc>
        <w:tc>
          <w:tcPr>
            <w:tcW w:w="120" w:type="dxa"/>
            <w:vAlign w:val="bottom"/>
            <w:shd w:val="clear" w:color="auto" w:fill="CFF0FC"/>
          </w:tcPr>
          <w:p>
            <w:pPr>
              <w:spacing w:after="0"/>
              <w:rPr>
                <w:sz w:val="19"/>
                <w:szCs w:val="19"/>
                <w:color w:val="auto"/>
              </w:rPr>
            </w:pPr>
          </w:p>
        </w:tc>
      </w:tr>
      <w:tr>
        <w:trPr>
          <w:trHeight w:val="229"/>
        </w:trPr>
        <w:tc>
          <w:tcPr>
            <w:tcW w:w="7780" w:type="dxa"/>
            <w:vAlign w:val="bottom"/>
            <w:gridSpan w:val="2"/>
          </w:tcPr>
          <w:p>
            <w:pPr>
              <w:spacing w:after="0"/>
              <w:rPr>
                <w:sz w:val="20"/>
                <w:szCs w:val="20"/>
                <w:color w:val="auto"/>
              </w:rPr>
            </w:pPr>
            <w:r>
              <w:rPr>
                <w:rFonts w:ascii="Arial" w:cs="Arial" w:eastAsia="Arial" w:hAnsi="Arial"/>
                <w:sz w:val="18"/>
                <w:szCs w:val="18"/>
                <w:color w:val="auto"/>
              </w:rPr>
              <w:t>SYNB1891</w:t>
            </w:r>
          </w:p>
        </w:tc>
        <w:tc>
          <w:tcPr>
            <w:tcW w:w="540" w:type="dxa"/>
            <w:vAlign w:val="bottom"/>
          </w:tcPr>
          <w:p>
            <w:pPr>
              <w:jc w:val="right"/>
              <w:spacing w:after="0"/>
              <w:rPr>
                <w:sz w:val="20"/>
                <w:szCs w:val="20"/>
                <w:color w:val="auto"/>
              </w:rPr>
            </w:pPr>
            <w:r>
              <w:rPr>
                <w:rFonts w:ascii="Arial" w:cs="Arial" w:eastAsia="Arial" w:hAnsi="Arial"/>
                <w:sz w:val="18"/>
                <w:szCs w:val="18"/>
                <w:color w:val="auto"/>
              </w:rPr>
              <w:t>762</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19"/>
                <w:szCs w:val="19"/>
                <w:color w:val="auto"/>
              </w:rPr>
            </w:pPr>
          </w:p>
        </w:tc>
      </w:tr>
      <w:tr>
        <w:trPr>
          <w:trHeight w:val="230"/>
        </w:trPr>
        <w:tc>
          <w:tcPr>
            <w:tcW w:w="7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SYNB8802</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1,741</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780" w:type="dxa"/>
            <w:vAlign w:val="bottom"/>
            <w:gridSpan w:val="2"/>
          </w:tcPr>
          <w:p>
            <w:pPr>
              <w:spacing w:after="0"/>
              <w:rPr>
                <w:sz w:val="20"/>
                <w:szCs w:val="20"/>
                <w:color w:val="auto"/>
              </w:rPr>
            </w:pPr>
            <w:r>
              <w:rPr>
                <w:rFonts w:ascii="Arial" w:cs="Arial" w:eastAsia="Arial" w:hAnsi="Arial"/>
                <w:sz w:val="18"/>
                <w:szCs w:val="18"/>
                <w:color w:val="auto"/>
              </w:rPr>
              <w:t>SYNB1934</w:t>
            </w:r>
          </w:p>
        </w:tc>
        <w:tc>
          <w:tcPr>
            <w:tcW w:w="540" w:type="dxa"/>
            <w:vAlign w:val="bottom"/>
          </w:tcPr>
          <w:p>
            <w:pPr>
              <w:jc w:val="right"/>
              <w:spacing w:after="0"/>
              <w:rPr>
                <w:sz w:val="20"/>
                <w:szCs w:val="20"/>
                <w:color w:val="auto"/>
              </w:rPr>
            </w:pPr>
            <w:r>
              <w:rPr>
                <w:rFonts w:ascii="Arial" w:cs="Arial" w:eastAsia="Arial" w:hAnsi="Arial"/>
                <w:sz w:val="18"/>
                <w:szCs w:val="18"/>
                <w:color w:val="auto"/>
              </w:rPr>
              <w:t>90</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7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External pre-development candidate expenses and unallocated</w:t>
            </w: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expenses</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2,281</w:t>
            </w:r>
          </w:p>
        </w:tc>
        <w:tc>
          <w:tcPr>
            <w:tcW w:w="120" w:type="dxa"/>
            <w:vAlign w:val="bottom"/>
            <w:shd w:val="clear" w:color="auto" w:fill="CFF0FC"/>
          </w:tcPr>
          <w:p>
            <w:pPr>
              <w:spacing w:after="0"/>
              <w:rPr>
                <w:sz w:val="20"/>
                <w:szCs w:val="20"/>
                <w:color w:val="auto"/>
              </w:rPr>
            </w:pPr>
          </w:p>
        </w:tc>
      </w:tr>
      <w:tr>
        <w:trPr>
          <w:trHeight w:val="229"/>
        </w:trPr>
        <w:tc>
          <w:tcPr>
            <w:tcW w:w="7780" w:type="dxa"/>
            <w:vAlign w:val="bottom"/>
            <w:gridSpan w:val="2"/>
          </w:tcPr>
          <w:p>
            <w:pPr>
              <w:spacing w:after="0"/>
              <w:rPr>
                <w:sz w:val="20"/>
                <w:szCs w:val="20"/>
                <w:color w:val="auto"/>
              </w:rPr>
            </w:pPr>
            <w:r>
              <w:rPr>
                <w:rFonts w:ascii="Arial" w:cs="Arial" w:eastAsia="Arial" w:hAnsi="Arial"/>
                <w:sz w:val="18"/>
                <w:szCs w:val="18"/>
                <w:color w:val="auto"/>
              </w:rPr>
              <w:t>Internal research and development expenses</w:t>
            </w:r>
          </w:p>
        </w:tc>
        <w:tc>
          <w:tcPr>
            <w:tcW w:w="540" w:type="dxa"/>
            <w:vAlign w:val="bottom"/>
          </w:tcPr>
          <w:p>
            <w:pPr>
              <w:jc w:val="right"/>
              <w:spacing w:after="0"/>
              <w:rPr>
                <w:sz w:val="20"/>
                <w:szCs w:val="20"/>
                <w:color w:val="auto"/>
              </w:rPr>
            </w:pPr>
            <w:r>
              <w:rPr>
                <w:rFonts w:ascii="Arial" w:cs="Arial" w:eastAsia="Arial" w:hAnsi="Arial"/>
                <w:sz w:val="18"/>
                <w:szCs w:val="18"/>
                <w:color w:val="auto"/>
              </w:rPr>
              <w:t>6,578</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6,390</w:t>
            </w:r>
          </w:p>
        </w:tc>
        <w:tc>
          <w:tcPr>
            <w:tcW w:w="120" w:type="dxa"/>
            <w:vAlign w:val="bottom"/>
          </w:tcPr>
          <w:p>
            <w:pPr>
              <w:spacing w:after="0"/>
              <w:rPr>
                <w:sz w:val="19"/>
                <w:szCs w:val="19"/>
                <w:color w:val="auto"/>
              </w:rPr>
            </w:pPr>
          </w:p>
        </w:tc>
      </w:tr>
      <w:tr>
        <w:trPr>
          <w:trHeight w:val="223"/>
        </w:trPr>
        <w:tc>
          <w:tcPr>
            <w:tcW w:w="690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ind w:right="699"/>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11,180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12,677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General and administrative expense consists primarily of compensation, benefits and other employee-related expenses for personnel in our administrative, finance, legal, information technology, investor relations, business development and human resource functions. Other costs include the legal costs of pursuing patent protection of our intellectual property, general and administrative related facility and information technology infrastructure costs and professional fees for accounting and legal services. We anticipate increases in expenses related to legal fees, accounting fees, costs for director and officer liability insurance, fees for investor relations services and costs associated with implementing and complying with corporate governance, internal controls and similar requirements applicable to public companies. We charge all general and administrative expenses to operations as incurred.</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Interest and investment income consists of income earned on investments. Interest expense consists of expense related to our finance leases. Other expense consists primarily of gains and losses on foreign currency invoices.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80" w:firstLine="510"/>
        <w:spacing w:after="0" w:line="259" w:lineRule="auto"/>
        <w:rPr>
          <w:sz w:val="20"/>
          <w:szCs w:val="20"/>
          <w:color w:val="auto"/>
        </w:rPr>
      </w:pPr>
      <w:r>
        <w:rPr>
          <w:rFonts w:ascii="Arial" w:cs="Arial" w:eastAsia="Arial" w:hAnsi="Arial"/>
          <w:sz w:val="18"/>
          <w:szCs w:val="18"/>
          <w:color w:val="auto"/>
        </w:rPr>
        <w:t>Our discussion and analysis of our financial condition and results of operations is based upon our consolidated financial statements prepared in accordance with generally accepted accounting principles in the U.S. (GAAP). The preparation of these financial statements requires us to make certain estimates and assumptions that affect the reported amounts of assets and liabilities, the reported amounts of revenues and expenses during the reported periods and related disclosures.</w:t>
      </w:r>
    </w:p>
    <w:p>
      <w:pPr>
        <w:spacing w:after="0" w:line="18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Our critical accounting policies are described in our 2020 Annual Report. During the three months ended March 31, 2021, there were no material changes to our critical accounting policies. We believe that these identified policies are critical to fully understanding and evaluating our financial condition and results of operations.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0" w:name="page21"/>
    <w:bookmarkEnd w:id="20"/>
    <w:p>
      <w:pPr>
        <w:ind w:firstLine="510"/>
        <w:spacing w:after="0" w:line="291" w:lineRule="auto"/>
        <w:rPr>
          <w:sz w:val="20"/>
          <w:szCs w:val="20"/>
          <w:color w:val="auto"/>
        </w:rPr>
      </w:pPr>
      <w:r>
        <w:rPr>
          <w:rFonts w:ascii="Arial" w:cs="Arial" w:eastAsia="Arial" w:hAnsi="Arial"/>
          <w:sz w:val="16"/>
          <w:szCs w:val="16"/>
          <w:color w:val="auto"/>
        </w:rPr>
        <w:t>Our estimates and assumptions, including those related to revenue recognition and research and development expenses are monitored and analyzed by us for changes in facts and circumstances, and material changes in these estimates could occur in the future. The estimates and assumptions involved in our revenue recognition policy, particularly (a) assessing the number of performance obligations; (b) determination of transaction price; (c) determining the pattern over which performance obligations are satisfied, including estimates to complete performance obligations, and those estimates and assumptions involved in our contract research accrual process, particularly estimates of work completed to date; involve a greater degree of judgment, and therefore we consider revenue recognition and research and development expenses to be our critical accounting policies. We evaluate our estimates and assumptions on an ongoing basis. Actual results may differ from our estimates under different assumptions or conditions.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The following discussion summarizes the key factors our management believes are necessary for an understanding of our consolidated financial results.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2021 Compared to Three Months Ended March 31, 2020</w:t>
      </w:r>
    </w:p>
    <w:p>
      <w:pPr>
        <w:spacing w:after="0" w:line="200" w:lineRule="exact"/>
        <w:rPr>
          <w:sz w:val="20"/>
          <w:szCs w:val="20"/>
          <w:color w:val="auto"/>
        </w:rPr>
      </w:pPr>
    </w:p>
    <w:p>
      <w:pPr>
        <w:spacing w:after="0" w:line="31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gridSpan w:val="7"/>
          </w:tcPr>
          <w:p>
            <w:pPr>
              <w:ind w:left="80"/>
              <w:spacing w:after="0"/>
              <w:rPr>
                <w:sz w:val="20"/>
                <w:szCs w:val="20"/>
                <w:color w:val="auto"/>
              </w:rPr>
            </w:pPr>
            <w:r>
              <w:rPr>
                <w:rFonts w:ascii="Arial" w:cs="Arial" w:eastAsia="Arial" w:hAnsi="Arial"/>
                <w:sz w:val="14"/>
                <w:szCs w:val="14"/>
                <w:b w:val="1"/>
                <w:bCs w:val="1"/>
                <w:color w:val="auto"/>
              </w:rPr>
              <w:t>For the Three Months Ended</w:t>
            </w: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89"/>
              </w:rPr>
              <w:t>Change</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38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0" w:type="dxa"/>
            <w:vAlign w:val="bottom"/>
            <w:tcBorders>
              <w:top w:val="single" w:sz="8" w:color="auto"/>
              <w:bottom w:val="single" w:sz="8" w:color="auto"/>
            </w:tcBorders>
            <w:gridSpan w:val="3"/>
          </w:tcPr>
          <w:p>
            <w:pPr>
              <w:ind w:left="40"/>
              <w:spacing w:after="0" w:line="155" w:lineRule="exact"/>
              <w:rPr>
                <w:sz w:val="20"/>
                <w:szCs w:val="20"/>
                <w:color w:val="auto"/>
              </w:rPr>
            </w:pPr>
            <w:r>
              <w:rPr>
                <w:rFonts w:ascii="Arial" w:cs="Arial" w:eastAsia="Arial" w:hAnsi="Arial"/>
                <w:sz w:val="14"/>
                <w:szCs w:val="14"/>
                <w:b w:val="1"/>
                <w:bCs w:val="1"/>
                <w:color w:val="auto"/>
              </w:rPr>
              <w:t>March 31, 2021</w:t>
            </w:r>
          </w:p>
        </w:tc>
        <w:tc>
          <w:tcPr>
            <w:tcW w:w="6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8"/>
              </w:rPr>
              <w:t>March 31, 2020</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w w:val="76"/>
              </w:rPr>
              <w:t>$</w:t>
            </w:r>
          </w:p>
        </w:tc>
        <w:tc>
          <w:tcPr>
            <w:tcW w:w="80" w:type="dxa"/>
            <w:vAlign w:val="bottom"/>
          </w:tcPr>
          <w:p>
            <w:pPr>
              <w:spacing w:after="0"/>
              <w:rPr>
                <w:sz w:val="13"/>
                <w:szCs w:val="13"/>
                <w:color w:val="auto"/>
              </w:rPr>
            </w:pPr>
          </w:p>
        </w:tc>
      </w:tr>
      <w:tr>
        <w:trPr>
          <w:trHeight w:val="155"/>
        </w:trPr>
        <w:tc>
          <w:tcPr>
            <w:tcW w:w="38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58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jc w:val="right"/>
              <w:ind w:right="239"/>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Operating expenses:</w:t>
            </w: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11,180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12,677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(1,497)</w:t>
            </w:r>
          </w:p>
        </w:tc>
      </w:tr>
      <w:tr>
        <w:trPr>
          <w:trHeight w:val="229"/>
        </w:trPr>
        <w:tc>
          <w:tcPr>
            <w:tcW w:w="38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14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3,851</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3,821</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80" w:type="dxa"/>
            <w:vAlign w:val="bottom"/>
            <w:tcBorders>
              <w:bottom w:val="single" w:sz="8" w:color="CFF0FC"/>
            </w:tcBorders>
          </w:tcPr>
          <w:p>
            <w:pPr>
              <w:spacing w:after="0"/>
              <w:rPr>
                <w:sz w:val="19"/>
                <w:szCs w:val="19"/>
                <w:color w:val="auto"/>
              </w:rPr>
            </w:pPr>
          </w:p>
        </w:tc>
      </w:tr>
      <w:tr>
        <w:trPr>
          <w:trHeight w:val="223"/>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4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15,031</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16,498</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(1,467)</w:t>
            </w:r>
          </w:p>
        </w:tc>
        <w:tc>
          <w:tcPr>
            <w:tcW w:w="80" w:type="dxa"/>
            <w:vAlign w:val="bottom"/>
            <w:shd w:val="clear" w:color="auto" w:fill="CFF0FC"/>
          </w:tcPr>
          <w:p>
            <w:pPr>
              <w:spacing w:after="0"/>
              <w:rPr>
                <w:sz w:val="19"/>
                <w:szCs w:val="19"/>
                <w:color w:val="auto"/>
              </w:rPr>
            </w:pP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Loss from operations</w:t>
            </w: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(15,031)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(16,398)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1,367</w:t>
            </w:r>
          </w:p>
        </w:tc>
        <w:tc>
          <w:tcPr>
            <w:tcW w:w="80" w:type="dxa"/>
            <w:vAlign w:val="bottom"/>
          </w:tcPr>
          <w:p>
            <w:pPr>
              <w:spacing w:after="0"/>
              <w:rPr>
                <w:sz w:val="19"/>
                <w:szCs w:val="19"/>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3880" w:type="dxa"/>
            <w:vAlign w:val="bottom"/>
          </w:tcPr>
          <w:p>
            <w:pPr>
              <w:ind w:left="240"/>
              <w:spacing w:after="0"/>
              <w:rPr>
                <w:sz w:val="20"/>
                <w:szCs w:val="20"/>
                <w:color w:val="auto"/>
              </w:rPr>
            </w:pPr>
            <w:r>
              <w:rPr>
                <w:rFonts w:ascii="Arial" w:cs="Arial" w:eastAsia="Arial" w:hAnsi="Arial"/>
                <w:sz w:val="18"/>
                <w:szCs w:val="18"/>
                <w:color w:val="auto"/>
              </w:rPr>
              <w:t>Interest and investment income</w:t>
            </w: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(514)</w:t>
            </w:r>
          </w:p>
        </w:tc>
      </w:tr>
      <w:tr>
        <w:trPr>
          <w:trHeight w:val="230"/>
        </w:trPr>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1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r>
      <w:tr>
        <w:trPr>
          <w:trHeight w:val="229"/>
        </w:trPr>
        <w:tc>
          <w:tcPr>
            <w:tcW w:w="3880" w:type="dxa"/>
            <w:vAlign w:val="bottom"/>
          </w:tcPr>
          <w:p>
            <w:pPr>
              <w:ind w:left="240"/>
              <w:spacing w:after="0"/>
              <w:rPr>
                <w:sz w:val="20"/>
                <w:szCs w:val="20"/>
                <w:color w:val="auto"/>
              </w:rPr>
            </w:pPr>
            <w:r>
              <w:rPr>
                <w:rFonts w:ascii="Arial" w:cs="Arial" w:eastAsia="Arial" w:hAnsi="Arial"/>
                <w:sz w:val="18"/>
                <w:szCs w:val="18"/>
                <w:color w:val="auto"/>
              </w:rPr>
              <w:t>Other expense</w:t>
            </w: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r>
      <w:tr>
        <w:trPr>
          <w:trHeight w:val="223"/>
        </w:trPr>
        <w:tc>
          <w:tcPr>
            <w:tcW w:w="3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14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Net loss</w:t>
            </w:r>
          </w:p>
        </w:tc>
        <w:tc>
          <w:tcPr>
            <w:tcW w:w="140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(15,828)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w:t>
            </w:r>
          </w:p>
        </w:tc>
        <w:tc>
          <w:tcPr>
            <w:tcW w:w="80" w:type="dxa"/>
            <w:vAlign w:val="bottom"/>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35"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There was no revenue for the three months ended March 31, 2021, as compared to $0.1 for the three months ended March 31, 2020. Revenue for the three months ended March 31, 2020 was related to the recognition of deferred revenue from services performed and payments received under the AbbVie collaboration. In May 2020, we announced the termination of our collaboration with AbbVie.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140" w:firstLine="510"/>
        <w:spacing w:after="0" w:line="255" w:lineRule="auto"/>
        <w:rPr>
          <w:sz w:val="20"/>
          <w:szCs w:val="20"/>
          <w:color w:val="auto"/>
        </w:rPr>
      </w:pPr>
      <w:r>
        <w:rPr>
          <w:rFonts w:ascii="Arial" w:cs="Arial" w:eastAsia="Arial" w:hAnsi="Arial"/>
          <w:sz w:val="18"/>
          <w:szCs w:val="18"/>
          <w:color w:val="auto"/>
        </w:rPr>
        <w:t>Research and development expense was $11.2 million for the three months ended March 31, 2021 compared to $12.7 million in the corresponding period in 2020. The decrease in research and development expense was primarily due to a decrease of $3.3 million of nonclinical development costs, primarily related to SYNB1618, and decreases in clinical development costs of $0.5 million for SYNB1618 and $0.1 million for SYNB1020, and a decrease of $0.1 million for research and development support costs. These decreases were partially offset by increases of clinical development costs of $1.8 million for SYNB8802 and $0.4 million for SYNB1891, and an increase of $0.3 million of compensation, benefits and other employee-related expense.</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General and administrative expense was $3.9 million for the three months ended March 31, 2021 compared to $3.8 million for the corresponding period in 2020. The increase was primarily due to increases in legal and consulting expenses, offset by decreases in compensation, benefits and other employee-related expenses, and headcount-related expenses.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ind w:right="180" w:firstLine="510"/>
        <w:spacing w:after="0" w:line="286" w:lineRule="auto"/>
        <w:rPr>
          <w:sz w:val="20"/>
          <w:szCs w:val="20"/>
          <w:color w:val="auto"/>
        </w:rPr>
      </w:pPr>
      <w:r>
        <w:rPr>
          <w:rFonts w:ascii="Arial" w:cs="Arial" w:eastAsia="Arial" w:hAnsi="Arial"/>
          <w:sz w:val="17"/>
          <w:szCs w:val="17"/>
          <w:color w:val="auto"/>
        </w:rPr>
        <w:t>Other income (expense) was $0.1 million for the three months ended March 31, 2021, compared to $0.6 million for the corresponding period in 2020. The decrease in other income (expense) of $0.5 million was related to a decrease in interest and investment income resulting from lower cash, cash equivalents and marketable securities balances and lower interest income generated by our investment account.</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We have incurred losses since our inception on March 14, 2014 and, as of March 31, 2021 we had an accumulated deficit of approximately $245.3 million. We have financed our operations to date primarily through the sale of preferred stock, common stock, preferred units, warrants, payments received under the AbbVie collaboration agreement, payments received under the technology collaboration with Ginkgo, interest earned on investments, and cash received in the Merger. At March 31, 2021, we had approximately $94.4 million in cash, cash equivalents, and short-term marketable securities. Our cash and cash equivalents include amounts held in money market funds and corporate debt securities, stated at cost plus unrealized gain and loss, which approximates fair market value. Our available-for-sale securities include amounts held in corporate debt securities, commercial paper and U.S. government agency securities and treasuries. We invest cash in excess of immediate requirements in accordance with our investment policy, which limits the amounts we may invest in any one type of investment and requires all investments held by us to maintain minimum ratings from Nationally Recognized Statistical Rating Organizations so as to primarily achieve liquidity and capital preservation.</w:t>
      </w:r>
    </w:p>
    <w:p>
      <w:pPr>
        <w:spacing w:after="0" w:line="181" w:lineRule="exact"/>
        <w:rPr>
          <w:sz w:val="20"/>
          <w:szCs w:val="20"/>
          <w:color w:val="auto"/>
        </w:rPr>
      </w:pPr>
    </w:p>
    <w:p>
      <w:pPr>
        <w:jc w:val="both"/>
        <w:ind w:right="640" w:firstLine="510"/>
        <w:spacing w:after="0" w:line="301" w:lineRule="auto"/>
        <w:rPr>
          <w:sz w:val="20"/>
          <w:szCs w:val="20"/>
          <w:color w:val="auto"/>
        </w:rPr>
      </w:pPr>
      <w:r>
        <w:rPr>
          <w:rFonts w:ascii="Arial" w:cs="Arial" w:eastAsia="Arial" w:hAnsi="Arial"/>
          <w:sz w:val="16"/>
          <w:szCs w:val="16"/>
          <w:color w:val="auto"/>
        </w:rPr>
        <w:t>During the three months ended March 31, 2021, our cash, cash equivalents and marketable securities balance decreased approximately $6.1 million. This decrease was primarily due to the cash used to operate our business, including payments related to, among other things, research and development and general and administrative expenses as we continue to invest in our primary drug candidates and support the development of our proprietary platform. This decrease was offset by proceeds from the sale of our common stock in the ATM offering program.</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sets forth the major sources and uses of cash, cash equivalents and restricted cash for each of the periods below (in thousands):</w:t>
      </w:r>
    </w:p>
    <w:p>
      <w:pPr>
        <w:spacing w:after="0" w:line="321"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4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18"/>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r>
      <w:tr>
        <w:trPr>
          <w:trHeight w:val="156"/>
        </w:trPr>
        <w:tc>
          <w:tcPr>
            <w:tcW w:w="4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w w:val="90"/>
              </w:rPr>
              <w:t>Net cash, cash equivalents and restricted cash (used in) provided by</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4960" w:type="dxa"/>
            <w:vAlign w:val="bottom"/>
          </w:tcPr>
          <w:p>
            <w:pPr>
              <w:ind w:left="120"/>
              <w:spacing w:after="0"/>
              <w:rPr>
                <w:sz w:val="20"/>
                <w:szCs w:val="20"/>
                <w:color w:val="auto"/>
              </w:rPr>
            </w:pPr>
            <w:r>
              <w:rPr>
                <w:rFonts w:ascii="Arial" w:cs="Arial" w:eastAsia="Arial" w:hAnsi="Arial"/>
                <w:sz w:val="18"/>
                <w:szCs w:val="18"/>
                <w:color w:val="auto"/>
              </w:rPr>
              <w:t>Operating activities</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(13,976)</w:t>
            </w:r>
          </w:p>
        </w:tc>
        <w:tc>
          <w:tcPr>
            <w:tcW w:w="4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(12,479)</w:t>
            </w:r>
          </w:p>
        </w:tc>
      </w:tr>
      <w:tr>
        <w:trPr>
          <w:trHeight w:val="230"/>
        </w:trPr>
        <w:tc>
          <w:tcPr>
            <w:tcW w:w="4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Investing activities</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5,817</w:t>
            </w:r>
          </w:p>
        </w:tc>
        <w:tc>
          <w:tcPr>
            <w:tcW w:w="80" w:type="dxa"/>
            <w:vAlign w:val="bottom"/>
            <w:shd w:val="clear" w:color="auto" w:fill="CFF0FC"/>
          </w:tcPr>
          <w:p>
            <w:pPr>
              <w:spacing w:after="0"/>
              <w:rPr>
                <w:sz w:val="19"/>
                <w:szCs w:val="19"/>
                <w:color w:val="auto"/>
              </w:rPr>
            </w:pPr>
          </w:p>
        </w:tc>
      </w:tr>
      <w:tr>
        <w:trPr>
          <w:trHeight w:val="230"/>
        </w:trPr>
        <w:tc>
          <w:tcPr>
            <w:tcW w:w="4960" w:type="dxa"/>
            <w:vAlign w:val="bottom"/>
          </w:tcPr>
          <w:p>
            <w:pPr>
              <w:ind w:left="120"/>
              <w:spacing w:after="0"/>
              <w:rPr>
                <w:sz w:val="20"/>
                <w:szCs w:val="20"/>
                <w:color w:val="auto"/>
              </w:rPr>
            </w:pPr>
            <w:r>
              <w:rPr>
                <w:rFonts w:ascii="Arial" w:cs="Arial" w:eastAsia="Arial" w:hAnsi="Arial"/>
                <w:sz w:val="18"/>
                <w:szCs w:val="18"/>
                <w:color w:val="auto"/>
              </w:rPr>
              <w:t>Financing activities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8,019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r>
      <w:tr>
        <w:trPr>
          <w:trHeight w:val="223"/>
        </w:trPr>
        <w:tc>
          <w:tcPr>
            <w:tcW w:w="4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Net cash, cash equivalents and restricted cash used in operating activities was approximately $14.0 million for the three months ended March 31, 2021. The primary use of cash was our net loss of $15.0 million, which was partially offset by $2.1 million of non-cash items primarily including depreciation, equity-based compensation, and the right of use asset. There was an increase in working capital of $1.1 million, primarily related to decreases in prepaid research and development expenses, as result of the work being completed on the Ginkgo collaboration, offset by increases in prepaid expenses and other current assets, decreases in accounts payable, accrued expenses, and operating lease liability.</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22" w:name="page23"/>
    <w:bookmarkEnd w:id="22"/>
    <w:p>
      <w:pPr>
        <w:ind w:right="280" w:firstLine="510"/>
        <w:spacing w:after="0" w:line="257" w:lineRule="auto"/>
        <w:rPr>
          <w:sz w:val="20"/>
          <w:szCs w:val="20"/>
          <w:color w:val="auto"/>
        </w:rPr>
      </w:pPr>
      <w:r>
        <w:rPr>
          <w:rFonts w:ascii="Arial" w:cs="Arial" w:eastAsia="Arial" w:hAnsi="Arial"/>
          <w:sz w:val="18"/>
          <w:szCs w:val="18"/>
          <w:color w:val="auto"/>
        </w:rPr>
        <w:t>Net cash, cash equivalents and restricted cash used in operating activities was approximately $12.5 million for the three months ended March 31, 2020. The primary use of cash was our net loss of $15.8 million and an increase in working capital of $1.2 million, primarily related to decreases in prepaid research and development expenses, prepaid expenses and other current assets, accounts receivable and deferred revenue, accounts payable and accrued expenses, offset by an increase in operating lease liability. Net loss was partially offset by $2.1 million of non-cash items primarily including depreciation and equity-based compensation.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Net cash provided by investing activities for the three months ended March 31, 2021 was $0.2 million and resulted primarily from the proceeds from maturity of marketable securities of $26.0 million and proceeds from redemption of marketable securities of $1.3 million. This was offset by the purchases of marketable securities of $27.1 million.</w:t>
      </w:r>
    </w:p>
    <w:p>
      <w:pPr>
        <w:spacing w:after="0" w:line="292"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Net cash provided by investing activities for the three months ended March 31, 2020 was $5.8 million and resulted primarily from the proceeds from maturity of and redemption of marketable securities of $20.4 million. This was offset by the purchases of marketable securities of $14.3 million and property and equipment of $0.3 million.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17"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Net cash provided by financing activities for the three months ended March 31, 2021 totaled $8.0 million, primarily related to net proceeds of $8.1 million from the sale of our common stock in the ATM offering program, offset by payments of withholding taxes for employees relating to restricted stock awards.</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Net cash used in financing activities for the three months ended March 31, 2020 totaled $0.1 million solely related to payments on our finance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leases.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121"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auto"/>
        </w:rPr>
        <w:t>To date, we have not commercialized any products and have not achieved profitability. We anticipate that we will continue to incur substantial net losses for the next several years as we further develop our product candidates, invest in our proprietary platform technology and operate as a publicly traded company.</w:t>
      </w:r>
    </w:p>
    <w:p>
      <w:pPr>
        <w:spacing w:after="0" w:line="184" w:lineRule="exact"/>
        <w:rPr>
          <w:sz w:val="20"/>
          <w:szCs w:val="20"/>
          <w:color w:val="auto"/>
        </w:rPr>
      </w:pPr>
    </w:p>
    <w:p>
      <w:pPr>
        <w:ind w:right="280" w:firstLine="510"/>
        <w:spacing w:after="0" w:line="284" w:lineRule="auto"/>
        <w:rPr>
          <w:sz w:val="20"/>
          <w:szCs w:val="20"/>
          <w:color w:val="auto"/>
        </w:rPr>
      </w:pPr>
      <w:r>
        <w:rPr>
          <w:rFonts w:ascii="Arial" w:cs="Arial" w:eastAsia="Arial" w:hAnsi="Arial"/>
          <w:sz w:val="16"/>
          <w:szCs w:val="16"/>
          <w:color w:val="auto"/>
        </w:rPr>
        <w:t>We have historically generated revenue from our AbbVie collaboration (which was terminated in May 2020), but have not generated any product revenue since our inception and do not expect to generate any product revenue unless we receive regulatory approval for our product candidates. We believe that our cash, cash equivalents, and short-term marketable securities as of March 31, 2021, will be sufficient to meet our anticipated cash requirements for at least the next 12 months from the date of this filing. Our forecast of the period of time through which our financial resources will be adequate to support our operations is a forward-looking statement that involves risks and uncertainties, and actual results could vary materially and negatively as a result of a number of factors, including the factors discussed in the section entitled “Risk Factors” in this Quarterly Report on Form 10-</w:t>
      </w:r>
    </w:p>
    <w:p>
      <w:pPr>
        <w:spacing w:after="0" w:line="4" w:lineRule="exact"/>
        <w:rPr>
          <w:sz w:val="20"/>
          <w:szCs w:val="20"/>
          <w:color w:val="auto"/>
        </w:rPr>
      </w:pPr>
    </w:p>
    <w:p>
      <w:pPr>
        <w:ind w:right="100" w:firstLine="8"/>
        <w:spacing w:after="0" w:line="260" w:lineRule="auto"/>
        <w:tabs>
          <w:tab w:leader="none" w:pos="262"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based our estimates on assumptions that may prove to be wrong, and we could utilize our available capital resources sooner than we currently expect.</w:t>
      </w:r>
    </w:p>
    <w:p>
      <w:pPr>
        <w:spacing w:after="0" w:line="185" w:lineRule="exact"/>
        <w:rPr>
          <w:sz w:val="20"/>
          <w:szCs w:val="20"/>
          <w:color w:val="auto"/>
        </w:rPr>
      </w:pPr>
    </w:p>
    <w:p>
      <w:pPr>
        <w:ind w:right="420" w:firstLine="510"/>
        <w:spacing w:after="0" w:line="286" w:lineRule="auto"/>
        <w:rPr>
          <w:sz w:val="20"/>
          <w:szCs w:val="20"/>
          <w:color w:val="auto"/>
        </w:rPr>
      </w:pPr>
      <w:r>
        <w:rPr>
          <w:rFonts w:ascii="Arial" w:cs="Arial" w:eastAsia="Arial" w:hAnsi="Arial"/>
          <w:sz w:val="17"/>
          <w:szCs w:val="17"/>
          <w:color w:val="auto"/>
        </w:rPr>
        <w:t>Due to the numerous risks and uncertainties associated with the development of our product candidates, we are unable to estimate precisely the amounts of capital outlays and operating expenditures necessary to complete the development of, and to obtain regulatory approval for, our product candidates. Our funding requirements will depend on many factors, including, but not limited to, the following:</w:t>
      </w:r>
    </w:p>
    <w:p>
      <w:pPr>
        <w:spacing w:after="0" w:line="57" w:lineRule="exact"/>
        <w:rPr>
          <w:sz w:val="20"/>
          <w:szCs w:val="20"/>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success of our research and development efforts;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for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 for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progress, timing and costs involved in developing manufacturing processes and agreements with third-party manufacturers;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rate of progress and cost of our commercialization activities;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expenses we incur in marketing and selling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revenue generated by sales of our product candidates;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emergence of competing or complementary technological developments;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terms and timing of any additional collaborative, licensing or other arrangements that we may establish;</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acquisition of businesses, products and technologies;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need to implement additional infrastructure and internal systems;</w:t>
      </w:r>
    </w:p>
    <w:p>
      <w:pPr>
        <w:spacing w:after="0" w:line="117" w:lineRule="exact"/>
        <w:rPr>
          <w:rFonts w:ascii="Arial" w:cs="Arial" w:eastAsia="Arial" w:hAnsi="Arial"/>
          <w:sz w:val="18"/>
          <w:szCs w:val="18"/>
          <w:color w:val="auto"/>
        </w:rPr>
      </w:pPr>
    </w:p>
    <w:p>
      <w:pPr>
        <w:ind w:left="1000" w:right="54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need to add personnel and financial and management information systems to support our product development and potential future commercialization efforts, and to enable us to operate as a public company;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extent to which our business is adversely impacted by the effects of the coronavirus outbreak or by other health epidemics or pandemics.</w:t>
      </w:r>
    </w:p>
    <w:p>
      <w:pPr>
        <w:spacing w:after="0" w:line="248"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As an early-stage company, we are subject to a number of risks common to other life science companies, including, but not limited to, the ability to raise additional capital, development by our competitors of new technological innovations, risk of failure in preclinical studies, the safety and efficacy of our product candidates in clinical trials, the regulatory approval process, the ability to efficiently manufacture our products, market acceptance of our products once approved, lack of marketing and sales history, dependence on key personnel and protection of proprietary technology. Our therapeutic programs are currently pre-commercial, spanning discovery through early development and will require significant additional research and development efforts, including extensive preclinical and clinical testing and regulatory approval prior to commercialization of any product candidates. These efforts require significant amounts of additional capital, adequate personnel infrastructure and extensive compliance-reporting capabilities. There can be no assurance that our research and development will be successfully completed, that adequate protection for our intellectual property will be obtained, that any products developed will obtain necessary regulatory approval or that any approved products will be commercially viable. Even if our product development efforts are successful, it is uncertain when, if ever, we will generate revenue from product sales. We may never achieve profitability, and unless and until we do, we will continue to need to raise additional capital or obtain financing from other sources, such as strategic collaborations or partnerships. If we cannot expand our operations or otherwise capitalize on our business opportunities because we lack sufficient capital, our business, financial condition and results of operations could be materially adversely affected.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Commitments and Obligations</w:t>
      </w:r>
    </w:p>
    <w:p>
      <w:pPr>
        <w:spacing w:after="0" w:line="121" w:lineRule="exact"/>
        <w:rPr>
          <w:sz w:val="20"/>
          <w:szCs w:val="20"/>
          <w:color w:val="auto"/>
        </w:rPr>
      </w:pPr>
    </w:p>
    <w:p>
      <w:pPr>
        <w:ind w:right="260" w:firstLine="510"/>
        <w:spacing w:after="0" w:line="308" w:lineRule="auto"/>
        <w:rPr>
          <w:sz w:val="20"/>
          <w:szCs w:val="20"/>
          <w:color w:val="auto"/>
        </w:rPr>
      </w:pPr>
      <w:r>
        <w:rPr>
          <w:rFonts w:ascii="Arial" w:cs="Arial" w:eastAsia="Arial" w:hAnsi="Arial"/>
          <w:sz w:val="17"/>
          <w:szCs w:val="17"/>
          <w:color w:val="auto"/>
        </w:rPr>
        <w:t>There have been no material changes to our contractual obligations and commitments set forth under the heading “Management’s Discussion and Analysis of Financial Condition and Results of Operations- Contractual Obligations and Commitments” in our 2020 Annual Report.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For a description of transactions with related parties which may fall outside of the reporting period of this section, please see the section entitled “</w:t>
      </w:r>
      <w:r>
        <w:rPr>
          <w:rFonts w:ascii="Arial" w:cs="Arial" w:eastAsia="Arial" w:hAnsi="Arial"/>
          <w:sz w:val="18"/>
          <w:szCs w:val="18"/>
          <w:i w:val="1"/>
          <w:iCs w:val="1"/>
          <w:color w:val="auto"/>
        </w:rPr>
        <w:t>Certain Relationships and Related Person Transactions”</w:t>
      </w:r>
      <w:r>
        <w:rPr>
          <w:rFonts w:ascii="Arial" w:cs="Arial" w:eastAsia="Arial" w:hAnsi="Arial"/>
          <w:sz w:val="18"/>
          <w:szCs w:val="18"/>
          <w:color w:val="auto"/>
        </w:rPr>
        <w:t xml:space="preserve"> in our proxy statement filed with the SEC on April 27, 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We do not have any relationships with unconsolidated entities or financial partnerships, such as entities often referred to as structured finance or special purpose entities, that would have been established for the purpose of facilitating off-balance sheet arrangements (as that term is defined in Item 303(a)(4)(ii) of Regulation S-K) or other contractually narrow or limited purposes. As such, we are not exposed to any financing, liquidity, market or credit risk that could arise if we had engaged in those types of relationships. We enter into guarantees in the ordinary course of business related to the guarantee of our performance and the performance of our subsidiaries.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 xml:space="preserve">For detailed information regarding recently issued accounting pronouncements and the expected impact on our consolidated financial statements, 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the notes to the unaudited consolidated financial statements appearing elsewhere in this Quarterly Report on Form 10-Q.</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this information required under this item.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disclosure controls</w:t>
      </w:r>
    </w:p>
    <w:p>
      <w:pPr>
        <w:spacing w:after="0" w:line="12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Our disclosure controls and procedures (as defined in Rules 13a-15(e) and 15d-15(e) under the Securities Exchange Act of 1934, as amended (the Exchange Act)) are controls and other procedures that are designed to ensure that information required to be disclosed in our reports filed under the Exchange Act, such as this report, is recorded, processed, summarized and reported within the time periods specified in the SEC’s rules and forms. Disclosure controls and procedures are also designed to ensure that such information is accumulated and communicated to our management, including our principal executive officer and principal financial officer, as appropriate to allow timely decisions regarding required disclosure. Our management evaluates these controls and procedures on an ongoing basis.</w:t>
      </w:r>
    </w:p>
    <w:p>
      <w:pPr>
        <w:spacing w:after="0" w:line="19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There are inherent limitations to the effectiveness of any system of disclosure controls and procedures. These limitations include the possibility of human error, the circumvention or overriding of the controls and procedures and reasonable resource constraints. In addition, because we have designed our system of controls based on certain assumptions, which we believe are reasonable, about the likelihood of future events, our system of controls may not achieve its desired purpose under all possible future conditions. Accordingly, our disclosure controls and procedures provide reasonable assurance, but not absolute assurance, of achieving their objectives.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Our principal executive officer and principal financial officer, after evaluating the effectiveness of our disclosure controls and procedures (as defined in Exchange Act Rules 13a-15(e) and 15d-15(e)) as of the end of the period covered by this Form 10-K, have concluded that, based on such evaluation, our disclosure controls and procedures were effective to ensure that information required to be disclosed by us in the reports that we file or submit under the Exchange Act is recorded, processed, summarized and reported, within the time periods specified in the SEC’s rules and forms, and is accumulated and communicated to our management, including our principal executive and principal financial officers, or persons performing similar functions, as appropriate to allow timely decisions regarding required disclosure.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121"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There have not been any changes in our internal controls over financial reporting (as defined in Rules 13a-15(f) and 15d-15(f) under the Exchange Act) identified in connection with the evaluation of such internal control that occurred during our fiscal quarter ended March 31, 2021 that have materially affected, or are reasonably likely to materially affect, our internal controls over financial reporting.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PART II – 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1A. Risk Factors.</w:t>
      </w:r>
    </w:p>
    <w:p>
      <w:pPr>
        <w:spacing w:after="0" w:line="121" w:lineRule="exact"/>
        <w:rPr>
          <w:sz w:val="20"/>
          <w:szCs w:val="20"/>
          <w:color w:val="auto"/>
        </w:rPr>
      </w:pPr>
    </w:p>
    <w:p>
      <w:pPr>
        <w:ind w:right="120" w:firstLine="510"/>
        <w:spacing w:after="0" w:line="273" w:lineRule="auto"/>
        <w:rPr>
          <w:sz w:val="20"/>
          <w:szCs w:val="20"/>
          <w:color w:val="auto"/>
        </w:rPr>
      </w:pPr>
      <w:r>
        <w:rPr>
          <w:rFonts w:ascii="Arial" w:cs="Arial" w:eastAsia="Arial" w:hAnsi="Arial"/>
          <w:sz w:val="17"/>
          <w:szCs w:val="17"/>
          <w:i w:val="1"/>
          <w:iCs w:val="1"/>
          <w:color w:val="auto"/>
        </w:rPr>
        <w:t>Investing in our common stock involves a high degree of risk. Our business, prospects, financial condition or operating results could be materially adversely affected by the risks identified below, as well as other risks not currently known to us or that we currently consider immaterial. Furthermore, these factors represent risks and uncertainties that could cause actual results to differ materially from those implied by forward-looking statements. Accordingly, in evaluating our business, we encourage you to consider the following discussion of risk factors, in its entirety, in addition to other information contained in this Quarterly Report on Form 10-Q and our other public filings with the SEC. The following risk factors may be amended, supplemented or superseded from time to time by other reports we file with the SEC in the future.</w:t>
      </w:r>
    </w:p>
    <w:p>
      <w:pPr>
        <w:spacing w:after="0" w:line="178"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In the following discussion of risk factors, References to “we”, “us”, “our” and similar terms refer to the combined business of Synlogic, Inc. after the Merger on August 28, 2017.</w:t>
      </w: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Our business is subject to numerous risks and uncertainties, including those highlighted in this section below, that represent challenges that we face in connection with the successful implementation of our strategy. The occurrence of one or more of the events or circumstances described in more detail in the risk factors below, alone or in combination with other events or circumstances, may have an adverse effect on our business, cash flows, financial condition and results of operations. Such risks include, but are not limited to:</w:t>
      </w:r>
    </w:p>
    <w:p>
      <w:pPr>
        <w:spacing w:after="0" w:line="79" w:lineRule="exact"/>
        <w:rPr>
          <w:sz w:val="20"/>
          <w:szCs w:val="20"/>
          <w:color w:val="auto"/>
        </w:rPr>
      </w:pPr>
    </w:p>
    <w:p>
      <w:pPr>
        <w:ind w:left="1000" w:right="38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are a clinical-stage biopharmaceutical company with a history of losses, and we expect to continue to incur losses for the foreseeable future, and we may never achieve or maintain profitability.</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will require substantial additional funding, which may not be available on acceptable terms, or at all.</w:t>
      </w:r>
    </w:p>
    <w:p>
      <w:pPr>
        <w:spacing w:after="0" w:line="117"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quarterly and annual operating results may fluctuate in the future. As a result, we may fail to meet the expectations of research analysts or investors, which could cause our stock price to decline.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stock price is volatile and our stockholders may not be able to resell shares of our common stock at or above the price they paid.</w:t>
      </w:r>
    </w:p>
    <w:p>
      <w:pPr>
        <w:spacing w:after="0" w:line="128" w:lineRule="exact"/>
        <w:rPr>
          <w:rFonts w:ascii="Arial" w:cs="Arial" w:eastAsia="Arial" w:hAnsi="Arial"/>
          <w:sz w:val="17"/>
          <w:szCs w:val="17"/>
          <w:color w:val="auto"/>
        </w:rPr>
      </w:pPr>
    </w:p>
    <w:p>
      <w:pPr>
        <w:ind w:left="1000" w:right="42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short operating history may make it difficult for stockholders to evaluate the success of our business to date and to assess our future viability.</w:t>
      </w:r>
    </w:p>
    <w:p>
      <w:pPr>
        <w:spacing w:after="0" w:line="62" w:lineRule="exact"/>
        <w:rPr>
          <w:rFonts w:ascii="Arial" w:cs="Arial" w:eastAsia="Arial" w:hAnsi="Arial"/>
          <w:sz w:val="18"/>
          <w:szCs w:val="18"/>
          <w:color w:val="auto"/>
        </w:rPr>
      </w:pPr>
    </w:p>
    <w:p>
      <w:pPr>
        <w:ind w:left="1000" w:right="54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Clinical trials are costly, time consuming and inherently risky, and we may fail to demonstrate safety and efficacy to the satisfaction of applicable regulatory authorities.</w:t>
      </w:r>
    </w:p>
    <w:p>
      <w:pPr>
        <w:spacing w:after="0" w:line="62" w:lineRule="exact"/>
        <w:rPr>
          <w:rFonts w:ascii="Arial" w:cs="Arial" w:eastAsia="Arial" w:hAnsi="Arial"/>
          <w:sz w:val="18"/>
          <w:szCs w:val="18"/>
          <w:color w:val="auto"/>
        </w:rPr>
      </w:pPr>
    </w:p>
    <w:p>
      <w:pPr>
        <w:ind w:left="1000" w:right="30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approach we are taking to discover and develop novel therapeutics using synthetic biology to create novel medicines is unproven and may never lead to marketable products.</w:t>
      </w:r>
    </w:p>
    <w:p>
      <w:pPr>
        <w:spacing w:after="0" w:line="62" w:lineRule="exact"/>
        <w:rPr>
          <w:rFonts w:ascii="Arial" w:cs="Arial" w:eastAsia="Arial" w:hAnsi="Arial"/>
          <w:sz w:val="18"/>
          <w:szCs w:val="18"/>
          <w:color w:val="auto"/>
        </w:rPr>
      </w:pPr>
    </w:p>
    <w:p>
      <w:pPr>
        <w:ind w:left="1000" w:hanging="493"/>
        <w:spacing w:after="0" w:line="342" w:lineRule="auto"/>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product candidates may cause undesirable side effects or have other properties that could delay or prevent their regulatory approval, limit the commercial viability of an approved label, or result in significant negative consequences following marketing approval, if any.</w:t>
      </w:r>
    </w:p>
    <w:p>
      <w:pPr>
        <w:spacing w:after="0" w:line="15" w:lineRule="exact"/>
        <w:rPr>
          <w:rFonts w:ascii="Arial" w:cs="Arial" w:eastAsia="Arial" w:hAnsi="Arial"/>
          <w:sz w:val="16"/>
          <w:szCs w:val="16"/>
          <w:color w:val="auto"/>
        </w:rPr>
      </w:pPr>
    </w:p>
    <w:p>
      <w:pPr>
        <w:ind w:left="1000" w:right="48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development involves a lengthy and expensive process with an uncertain outcome, and results of earlier preclinical studies and clinical trials may not be predictive of future clinical trial results.</w:t>
      </w:r>
    </w:p>
    <w:p>
      <w:pPr>
        <w:spacing w:after="0" w:line="62"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experience delays or difficulties in the enrollment of patients in clinical trials, our costs might be higher than expected and our receipt of necessary regulatory approvals could be delayed or prevented.</w:t>
      </w:r>
    </w:p>
    <w:p>
      <w:pPr>
        <w:spacing w:after="0" w:line="62" w:lineRule="exact"/>
        <w:rPr>
          <w:rFonts w:ascii="Arial" w:cs="Arial" w:eastAsia="Arial" w:hAnsi="Arial"/>
          <w:sz w:val="18"/>
          <w:szCs w:val="18"/>
          <w:color w:val="auto"/>
        </w:rPr>
      </w:pPr>
    </w:p>
    <w:p>
      <w:pPr>
        <w:ind w:left="1000" w:hanging="493"/>
        <w:spacing w:after="0" w:line="296" w:lineRule="auto"/>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may face potential product liability claims, and, if successful claims are brought against us, we may incur substantial liability and costs. If the use or misuse of our product candidates harms patients, or is perceived to harm patients even when such harm is unrelated to our product candidates, our regulatory approvals, if any, could be revoked or otherwise negatively impacted and we could be subject to costly and damaging product liability claims. If we are unable to obtain adequate insurance or are required to pay for liabilities resulting from a claim excluded from, or beyond the limits of, our insurance coverage, such liability could adversely affect our financial condition.</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6" w:name="page27"/>
    <w:bookmarkEnd w:id="26"/>
    <w:p>
      <w:pPr>
        <w:ind w:left="500" w:right="300" w:hanging="493"/>
        <w:spacing w:after="0" w:line="277"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pandemic, epidemic, or outbreak of an infectious disease, such as COVID-19 may materially and adversely affect our business and our financial results.</w:t>
      </w:r>
    </w:p>
    <w:p>
      <w:pPr>
        <w:spacing w:after="0" w:line="62" w:lineRule="exact"/>
        <w:rPr>
          <w:rFonts w:ascii="Arial" w:cs="Arial" w:eastAsia="Arial" w:hAnsi="Arial"/>
          <w:sz w:val="18"/>
          <w:szCs w:val="18"/>
          <w:color w:val="auto"/>
        </w:rPr>
      </w:pPr>
    </w:p>
    <w:p>
      <w:pPr>
        <w:ind w:left="500" w:hanging="493"/>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Even if we obtain regulatory approval for a product candidate, we will remain subject to ongoing regulatory requirements.</w:t>
      </w:r>
    </w:p>
    <w:p>
      <w:pPr>
        <w:spacing w:after="0" w:line="117" w:lineRule="exact"/>
        <w:rPr>
          <w:rFonts w:ascii="Arial" w:cs="Arial" w:eastAsia="Arial" w:hAnsi="Arial"/>
          <w:sz w:val="18"/>
          <w:szCs w:val="18"/>
          <w:color w:val="auto"/>
        </w:rPr>
      </w:pPr>
    </w:p>
    <w:p>
      <w:pPr>
        <w:ind w:left="500" w:right="440" w:hanging="493"/>
        <w:spacing w:after="0" w:line="342" w:lineRule="auto"/>
        <w:tabs>
          <w:tab w:leader="none" w:pos="5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15" w:lineRule="exact"/>
        <w:rPr>
          <w:rFonts w:ascii="Arial" w:cs="Arial" w:eastAsia="Arial" w:hAnsi="Arial"/>
          <w:sz w:val="16"/>
          <w:szCs w:val="16"/>
          <w:color w:val="auto"/>
        </w:rPr>
      </w:pPr>
    </w:p>
    <w:p>
      <w:pPr>
        <w:ind w:left="500" w:right="120" w:hanging="493"/>
        <w:spacing w:after="0" w:line="259"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subject to, or may in the future become subject to, U.S. federal and state, and foreign laws and regulations imposing obligations on how we collect, use, disclose, store and process personal information. Our actual or perceived failure to comply with such obligations could result in liability or reputational harm and could harm our business. Ensuring compliance with such laws could also impair our efforts to maintain and expand our customer base, and thereby decrease our revenue.</w:t>
      </w:r>
    </w:p>
    <w:p>
      <w:pPr>
        <w:spacing w:after="0" w:line="78" w:lineRule="exact"/>
        <w:rPr>
          <w:rFonts w:ascii="Arial" w:cs="Arial" w:eastAsia="Arial" w:hAnsi="Arial"/>
          <w:sz w:val="18"/>
          <w:szCs w:val="18"/>
          <w:color w:val="auto"/>
        </w:rPr>
      </w:pPr>
    </w:p>
    <w:p>
      <w:pPr>
        <w:ind w:left="500" w:right="100" w:hanging="493"/>
        <w:spacing w:after="0" w:line="277"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we fail to comply with environmental, health and safety laws and regulations, we could become subject to fines or penalties or incur costs that could have a material adverse effect on our business, financial condition or results of operations.</w:t>
      </w:r>
    </w:p>
    <w:p>
      <w:pPr>
        <w:spacing w:after="0" w:line="62" w:lineRule="exact"/>
        <w:rPr>
          <w:rFonts w:ascii="Arial" w:cs="Arial" w:eastAsia="Arial" w:hAnsi="Arial"/>
          <w:sz w:val="18"/>
          <w:szCs w:val="18"/>
          <w:color w:val="auto"/>
        </w:rPr>
      </w:pPr>
    </w:p>
    <w:p>
      <w:pPr>
        <w:ind w:left="500" w:right="180" w:hanging="493"/>
        <w:spacing w:after="0" w:line="277"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internal computer systems, or those of our collaborators or other contractors or consultants, may fail or suffer security breaches, which could result in a material disruption of our product development programs.</w:t>
      </w:r>
    </w:p>
    <w:p>
      <w:pPr>
        <w:spacing w:after="0" w:line="62" w:lineRule="exact"/>
        <w:rPr>
          <w:rFonts w:ascii="Arial" w:cs="Arial" w:eastAsia="Arial" w:hAnsi="Arial"/>
          <w:sz w:val="18"/>
          <w:szCs w:val="18"/>
          <w:color w:val="auto"/>
        </w:rPr>
      </w:pPr>
    </w:p>
    <w:p>
      <w:pPr>
        <w:ind w:left="500" w:hanging="493"/>
        <w:spacing w:after="0" w:line="277"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Ethical, legal and social concerns about synthetic biology and genetic engineering could limit or prevent the use of our technologies and limit our revenues.</w:t>
      </w:r>
    </w:p>
    <w:p>
      <w:pPr>
        <w:spacing w:after="0" w:line="62" w:lineRule="exact"/>
        <w:rPr>
          <w:sz w:val="20"/>
          <w:szCs w:val="20"/>
          <w:color w:val="auto"/>
        </w:rPr>
      </w:pPr>
    </w:p>
    <w:p>
      <w:pPr>
        <w:ind w:left="520" w:right="380" w:hanging="463"/>
        <w:spacing w:after="0" w:line="277" w:lineRule="auto"/>
        <w:rPr>
          <w:sz w:val="20"/>
          <w:szCs w:val="20"/>
          <w:color w:val="auto"/>
        </w:rPr>
      </w:pPr>
      <w:r>
        <w:rPr>
          <w:rFonts w:ascii="Arial" w:cs="Arial" w:eastAsia="Arial" w:hAnsi="Arial"/>
          <w:sz w:val="18"/>
          <w:szCs w:val="18"/>
          <w:color w:val="auto"/>
        </w:rPr>
        <w:t>We may not be successful in obtaining or maintaining necessary rights to Synthetic Biotic medicines, product candidates and processes for our development pipeline through acquisitions and in-licenses.</w:t>
      </w:r>
    </w:p>
    <w:p>
      <w:pPr>
        <w:spacing w:after="0" w:line="62" w:lineRule="exact"/>
        <w:rPr>
          <w:sz w:val="20"/>
          <w:szCs w:val="20"/>
          <w:color w:val="auto"/>
        </w:rPr>
      </w:pPr>
    </w:p>
    <w:p>
      <w:pPr>
        <w:ind w:left="500" w:hanging="493"/>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have sufficient patent term protections for our product candidates to effectively protect our business.</w:t>
      </w:r>
    </w:p>
    <w:p>
      <w:pPr>
        <w:spacing w:after="0" w:line="130" w:lineRule="exact"/>
        <w:rPr>
          <w:rFonts w:ascii="Arial" w:cs="Arial" w:eastAsia="Arial" w:hAnsi="Arial"/>
          <w:sz w:val="18"/>
          <w:szCs w:val="18"/>
          <w:color w:val="auto"/>
        </w:rPr>
      </w:pPr>
    </w:p>
    <w:p>
      <w:pPr>
        <w:ind w:left="500" w:right="220" w:hanging="493"/>
        <w:spacing w:after="0" w:line="277"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we are unable to maintain effective proprietary rights for our product candidates or any future product candidates, we may not be able to compete effectively in our proposed markets.</w:t>
      </w:r>
    </w:p>
    <w:p>
      <w:pPr>
        <w:spacing w:after="0" w:line="62" w:lineRule="exact"/>
        <w:rPr>
          <w:rFonts w:ascii="Arial" w:cs="Arial" w:eastAsia="Arial" w:hAnsi="Arial"/>
          <w:sz w:val="18"/>
          <w:szCs w:val="18"/>
          <w:color w:val="auto"/>
        </w:rPr>
      </w:pPr>
    </w:p>
    <w:p>
      <w:pPr>
        <w:ind w:left="500" w:hanging="493"/>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Third-party claims of intellectual property infringement may prevent or delay our development and commercialization efforts.</w:t>
      </w:r>
    </w:p>
    <w:p>
      <w:pPr>
        <w:spacing w:after="0" w:line="130" w:lineRule="exact"/>
        <w:rPr>
          <w:rFonts w:ascii="Arial" w:cs="Arial" w:eastAsia="Arial" w:hAnsi="Arial"/>
          <w:sz w:val="18"/>
          <w:szCs w:val="18"/>
          <w:color w:val="auto"/>
        </w:rPr>
      </w:pPr>
    </w:p>
    <w:p>
      <w:pPr>
        <w:ind w:left="500" w:right="120" w:hanging="493"/>
        <w:spacing w:after="0" w:line="277"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involved in lawsuits to protect or enforce our patents or the patents of our licensors, which could be expensive, time consuming, and unsuccessful.</w:t>
      </w:r>
    </w:p>
    <w:p>
      <w:pPr>
        <w:spacing w:after="0" w:line="62" w:lineRule="exact"/>
        <w:rPr>
          <w:rFonts w:ascii="Arial" w:cs="Arial" w:eastAsia="Arial" w:hAnsi="Arial"/>
          <w:sz w:val="18"/>
          <w:szCs w:val="18"/>
          <w:color w:val="auto"/>
        </w:rPr>
      </w:pPr>
    </w:p>
    <w:p>
      <w:pPr>
        <w:ind w:left="500" w:hanging="493"/>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subject to claims challenging the inventorship of our patents and other intellectual property.</w:t>
      </w:r>
    </w:p>
    <w:p>
      <w:pPr>
        <w:spacing w:after="0" w:line="130" w:lineRule="exact"/>
        <w:rPr>
          <w:rFonts w:ascii="Arial" w:cs="Arial" w:eastAsia="Arial" w:hAnsi="Arial"/>
          <w:sz w:val="18"/>
          <w:szCs w:val="18"/>
          <w:color w:val="auto"/>
        </w:rPr>
      </w:pPr>
    </w:p>
    <w:p>
      <w:pPr>
        <w:ind w:left="500" w:hanging="493"/>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be able to protect our intellectual property rights throughout the world.</w:t>
      </w:r>
    </w:p>
    <w:p>
      <w:pPr>
        <w:spacing w:after="0" w:line="130" w:lineRule="exact"/>
        <w:rPr>
          <w:rFonts w:ascii="Arial" w:cs="Arial" w:eastAsia="Arial" w:hAnsi="Arial"/>
          <w:sz w:val="18"/>
          <w:szCs w:val="18"/>
          <w:color w:val="auto"/>
        </w:rPr>
      </w:pPr>
    </w:p>
    <w:p>
      <w:pPr>
        <w:ind w:left="500" w:right="40" w:hanging="493"/>
        <w:spacing w:after="0" w:line="263"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rely, and expect to continue to rely, on third parties to conduct some aspects of our product formulation, research, preclinical, and clinical studies, and those third parties may not perform satisfactorily, including by failing to meet deadlines for the completion of such formulation, research or testing.</w:t>
      </w:r>
    </w:p>
    <w:p>
      <w:pPr>
        <w:spacing w:after="0" w:line="75" w:lineRule="exact"/>
        <w:rPr>
          <w:rFonts w:ascii="Arial" w:cs="Arial" w:eastAsia="Arial" w:hAnsi="Arial"/>
          <w:sz w:val="18"/>
          <w:szCs w:val="18"/>
          <w:color w:val="auto"/>
        </w:rPr>
      </w:pPr>
    </w:p>
    <w:p>
      <w:pPr>
        <w:ind w:left="500" w:right="60" w:hanging="493"/>
        <w:spacing w:after="0" w:line="277"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rely on third-party supply and manufacturing partners for drug supplies for our late-stage clinical activities, and may do the same for any commercial supplies of our product candidates.</w:t>
      </w:r>
    </w:p>
    <w:p>
      <w:pPr>
        <w:spacing w:after="0" w:line="62" w:lineRule="exact"/>
        <w:rPr>
          <w:rFonts w:ascii="Arial" w:cs="Arial" w:eastAsia="Arial" w:hAnsi="Arial"/>
          <w:sz w:val="18"/>
          <w:szCs w:val="18"/>
          <w:color w:val="auto"/>
        </w:rPr>
      </w:pPr>
    </w:p>
    <w:p>
      <w:pPr>
        <w:ind w:left="500" w:right="400" w:hanging="493"/>
        <w:spacing w:after="0" w:line="277"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attempt to form collaborations in the future with respect to our product candidates, but we may not be able to do so, which may cause us to alter our development and commercialization plans.</w:t>
      </w:r>
    </w:p>
    <w:p>
      <w:pPr>
        <w:spacing w:after="0" w:line="62" w:lineRule="exact"/>
        <w:rPr>
          <w:rFonts w:ascii="Arial" w:cs="Arial" w:eastAsia="Arial" w:hAnsi="Arial"/>
          <w:sz w:val="18"/>
          <w:szCs w:val="18"/>
          <w:color w:val="auto"/>
        </w:rPr>
      </w:pPr>
    </w:p>
    <w:p>
      <w:pPr>
        <w:ind w:left="500" w:right="100" w:hanging="493"/>
        <w:spacing w:after="0" w:line="311" w:lineRule="auto"/>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If the market opportunities for our product candidates are smaller than we believe they are, we may not meet our revenue expectations and, assuming approval of a product candidate, our business may suffer. Because the patient populations in the market for our product candidates may be small, we must be able to successfully identify patients and acquire a significant market share to achieve profitability and growth.</w:t>
      </w:r>
    </w:p>
    <w:p>
      <w:pPr>
        <w:spacing w:after="0" w:line="40" w:lineRule="exact"/>
        <w:rPr>
          <w:rFonts w:ascii="Arial" w:cs="Arial" w:eastAsia="Arial" w:hAnsi="Arial"/>
          <w:sz w:val="16"/>
          <w:szCs w:val="16"/>
          <w:color w:val="auto"/>
        </w:rPr>
      </w:pPr>
    </w:p>
    <w:p>
      <w:pPr>
        <w:ind w:left="500" w:hanging="493"/>
        <w:spacing w:after="0"/>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face substantial competition and our competitors may discover, develop or commercialize products faster or more successfully than us.</w:t>
      </w:r>
    </w:p>
    <w:p>
      <w:pPr>
        <w:spacing w:after="0" w:line="153" w:lineRule="exact"/>
        <w:rPr>
          <w:rFonts w:ascii="Arial" w:cs="Arial" w:eastAsia="Arial" w:hAnsi="Arial"/>
          <w:sz w:val="16"/>
          <w:szCs w:val="16"/>
          <w:color w:val="auto"/>
        </w:rPr>
      </w:pPr>
    </w:p>
    <w:p>
      <w:pPr>
        <w:ind w:left="500" w:right="300" w:hanging="493"/>
        <w:spacing w:after="0" w:line="308" w:lineRule="auto"/>
        <w:tabs>
          <w:tab w:leader="none" w:pos="5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employees, independent contractors, principal investigators, CROs, consultants and collaborators may engage in misconduct or other improper activities, including noncompliance with regulatory standards and requirements and insider trading.</w:t>
      </w:r>
    </w:p>
    <w:p>
      <w:pPr>
        <w:spacing w:after="0" w:line="38" w:lineRule="exact"/>
        <w:rPr>
          <w:rFonts w:ascii="Arial" w:cs="Arial" w:eastAsia="Arial" w:hAnsi="Arial"/>
          <w:sz w:val="17"/>
          <w:szCs w:val="17"/>
          <w:color w:val="auto"/>
        </w:rPr>
      </w:pPr>
    </w:p>
    <w:p>
      <w:pPr>
        <w:ind w:left="500" w:right="20" w:hanging="493"/>
        <w:spacing w:after="0" w:line="308" w:lineRule="auto"/>
        <w:tabs>
          <w:tab w:leader="none" w:pos="5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employment agreements with our executive officers may require us to pay severance benefits to any of those persons who are terminated in connection with a change of control, which could harm our business, financial condition or results of operations.</w:t>
      </w:r>
    </w:p>
    <w:p>
      <w:pPr>
        <w:spacing w:after="0" w:line="14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820" w:top="476" w:right="379" w:bottom="1440" w:gutter="0" w:footer="0" w:header="0"/>
        </w:sectPr>
      </w:pPr>
    </w:p>
    <w:bookmarkStart w:id="27" w:name="page28"/>
    <w:bookmarkEnd w:id="27"/>
    <w:p>
      <w:pPr>
        <w:ind w:left="1000" w:right="22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principal stockholders and management own a significant percentage of our stock and are able to exert significant control over matters subject to stockholder approval.</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Future sales of our common stock or securities convertible or exchangeable for our common stock may depress our stock price.</w:t>
      </w:r>
    </w:p>
    <w:p>
      <w:pPr>
        <w:spacing w:after="0" w:line="130"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Provisions of our charter documents or Delaware law could delay or prevent an acquisition of us, even if the acquisition would be beneficial to our stockholders, and could make it more difficult for you to change management.</w:t>
      </w:r>
    </w:p>
    <w:p>
      <w:pPr>
        <w:spacing w:after="0" w:line="62"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do not anticipate paying any cash dividends on our common stock in the foreseeable future; therefore, capital appreciation, if any, of our common stock will be your sole source of gain for the foreseeable future.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Capital Requirements and Operating Results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a clinical-stage biopharmaceutical company with a history of losses, and we expect to continue to incur losses for the foreseeable future, and we may never achieve or maintain profitability.</w:t>
      </w:r>
    </w:p>
    <w:p>
      <w:pPr>
        <w:spacing w:after="0" w:line="62"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We are a clinical-stage biopharmaceutical company focused on the development of Synthetic Biotic medicines and we have incurred significant operating losses since our inception. Our net loss was approximately $15.0 million and $15.8 million for the three months ended March 31, 2021 and 2020 respectively. As of March 31, 2021, we had an accumulated deficit of approximately $245.3 million. To date, we have not generated any product revenue. Substantially all of our losses have resulted from expenses incurred in connection with our research and development programs and from general and administrative costs associated with our operations. We have no products on the market and expect that it will be many years, if ever, before we have a product candidate approved for commercialization.</w:t>
      </w:r>
    </w:p>
    <w:p>
      <w:pPr>
        <w:spacing w:after="0" w:line="192" w:lineRule="exact"/>
        <w:rPr>
          <w:sz w:val="20"/>
          <w:szCs w:val="20"/>
          <w:color w:val="auto"/>
        </w:rPr>
      </w:pPr>
    </w:p>
    <w:p>
      <w:pPr>
        <w:ind w:right="40" w:firstLine="510"/>
        <w:spacing w:after="0" w:line="288" w:lineRule="auto"/>
        <w:rPr>
          <w:sz w:val="20"/>
          <w:szCs w:val="20"/>
          <w:color w:val="auto"/>
        </w:rPr>
      </w:pPr>
      <w:r>
        <w:rPr>
          <w:rFonts w:ascii="Arial" w:cs="Arial" w:eastAsia="Arial" w:hAnsi="Arial"/>
          <w:sz w:val="16"/>
          <w:szCs w:val="16"/>
          <w:color w:val="auto"/>
        </w:rPr>
        <w:t>We have not generated, and do not expect to generate, any product revenue for the foreseeable future, and we expect to continue to incur significant operating losses for the foreseeable future due to the cost of research and development, preclinical studies and clinical trials, the regulatory review process for product candidates, and the development of manufacturing and marketing capabilities for any product candidates approved for commercial sale. The amount of our potential future losses is uncertain. To achieve profitability, we must successfully develop product candidates, obtain regulatory approvals to market and commercialize product candidates, manufacture any approved product candidates on commercially reasonable terms, establish a sales and marketing organization or suitable third-party alternatives for any approved product candidates and raise sufficient funds to finance our business activities. We may never succeed in these activities and, even if we do, may never generate revenues that are significant or large enough to achieve profitability. Even if we do achieve profitability, we may not be able to sustain or increase profitability on a quarterly or annual basis. Our failure to become and remain profitable would decrease our value and could impair our ability to raise capital, maintain our research and development efforts, expand our business or continue our operations. A decline in our value could also cause our stockholders to lose all or part of their investment.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require substantial additional funding, which may not be available on acceptable terms, or at all.</w:t>
      </w:r>
    </w:p>
    <w:p>
      <w:pPr>
        <w:spacing w:after="0" w:line="117"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We have used substantial funds to discover and develop our programs and proprietary drug development platform and will require substantial additional funds to conduct further research and development, including preclinical studies and clinical trials of our product candidates, seek regulatory approvals for our product candidates and manufacture and market any products that are approved for commercial sale. Our future capital requirements and the period for which we expect our existing resources to support our operations may vary significantly from what we expect. Our monthly spending levels vary based on new and ongoing research and development and corporate activities. Because we cannot be certain of the length of time or activities associated with successful development and commercialization of our product candidates, we are unable to estimate the actual funds we will require to develop and commercialize them.</w:t>
      </w:r>
    </w:p>
    <w:p>
      <w:pPr>
        <w:spacing w:after="0" w:line="195"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do not expect to realize any appreciable revenue from product sales or royalties in the foreseeable future, if at all. Our revenue sources will remain very limited unless and until our product candidates complete clinical development and are approved for commercialization and successfully marketed. To date, we have primarily financed our operations through sales of our securities, our third-party collaborations and the Merger. We intend to seek additional funding in the future through collaborations, equity or debt financings, credit or loan facilities or a combination of one or more of these financing sources. Our ability to raise additional funds will depend on financial, economic and other factors, many of which are beyond our control. Additional funds may not be available to us on acceptable terms or at all. If we raise additional funds by issuing equity or convertible debt securities,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may involve restrictive covenants limiting our flexibility in conducting future business activities, and, in the event of insolvency, debt holders would be repaid before holders of equity securities received any distribution of corporate assets.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28" w:name="page29"/>
    <w:bookmarkEnd w:id="28"/>
    <w:p>
      <w:pPr>
        <w:ind w:right="400" w:firstLine="510"/>
        <w:spacing w:after="0" w:line="279" w:lineRule="auto"/>
        <w:rPr>
          <w:sz w:val="20"/>
          <w:szCs w:val="20"/>
          <w:color w:val="auto"/>
        </w:rPr>
      </w:pPr>
      <w:r>
        <w:rPr>
          <w:rFonts w:ascii="Arial" w:cs="Arial" w:eastAsia="Arial" w:hAnsi="Arial"/>
          <w:sz w:val="17"/>
          <w:szCs w:val="17"/>
          <w:color w:val="auto"/>
        </w:rPr>
        <w:t>If we are unable to obtain funding on a timely basis or on acceptable terms, or at all, we may have to delay, limit or terminate our research and development programs and preclinical studies or clinical trials, if any, limit strategic opportunities or undergo reductions in our workforce or other corporate restructuring activities. We also could be required to seek funds through arrangements with collaborators or others that may require us to relinquish rights to some of our product candidates or technologies that we would otherwise pursue on our own.</w:t>
      </w:r>
    </w:p>
    <w:p>
      <w:pPr>
        <w:spacing w:after="0" w:line="27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quarterly and annual operating results may fluctuate in the future. As a result, we may fail to meet the expectations of research analysts or investors, which could cause our stock price to decline.</w:t>
      </w:r>
    </w:p>
    <w:p>
      <w:pPr>
        <w:spacing w:after="0" w:line="62"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Our financial condition and operating results may fluctuate from quarter to quarter and year to year in the future due to a variety of factors, many of which are beyond our control. Factors relating to our business that may contribute to these fluctuations include the following factors, as well as factors described elsewhere in this Quarterly Report on Form 10-Q and others:</w:t>
      </w:r>
    </w:p>
    <w:p>
      <w:pPr>
        <w:spacing w:after="0" w:line="76" w:lineRule="exact"/>
        <w:rPr>
          <w:sz w:val="20"/>
          <w:szCs w:val="20"/>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achieve or maintain profitability;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develop and maintain Synthetic Biotic technologies;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manage our growth;</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outcomes of research programs, clinical trials, or other product development and approval processes;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accurately report our financial results in a timely manner;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dependence on, and the need to attract and retain, key management and other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obtain, protect and enforce our intellectual property rights;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prevent the theft or misappropriation of our intellectual property, know-how or technologies;</w:t>
      </w:r>
    </w:p>
    <w:p>
      <w:pPr>
        <w:spacing w:after="0" w:line="117"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advantages that our competitors and potential competitors may have in securing funding or developing competing technologies or products;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obtain additional capital that may be necessary to expand our business.</w:t>
      </w:r>
    </w:p>
    <w:p>
      <w:pPr>
        <w:spacing w:after="0" w:line="225"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Due to the various factors mentioned above, and others, the results of any prior quarterly or annual periods should not be relied upon as indications of our future operating performance.</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stock price is volatile and our stockholders may not be able to resell shares of our common stock at or above the price they paid.</w:t>
      </w:r>
    </w:p>
    <w:p>
      <w:pPr>
        <w:spacing w:after="0" w:line="129"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trading price of our common stock is highly volatile and could be subject to wide fluctuations in response to various factors, some of which are beyond our control, such as reports by industry analysts, investor perceptions or negative announcements by other companies involving similar technologies or diseases. These factors also include those discussed in this “Risk Factors” section of this Quarterly Report on Form 10-Q and others such as:</w:t>
      </w:r>
    </w:p>
    <w:p>
      <w:pPr>
        <w:spacing w:after="0" w:line="79" w:lineRule="exact"/>
        <w:rPr>
          <w:sz w:val="20"/>
          <w:szCs w:val="20"/>
          <w:color w:val="auto"/>
        </w:rPr>
      </w:pPr>
    </w:p>
    <w:p>
      <w:pPr>
        <w:ind w:left="1000" w:right="54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relating to collaborations that we may enter into with respect to the development or commercialization of our product candidates;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relating to the receipt, modification or termination of government contracts or grants;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termination or delay of a development program;</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liability claims related to our clinical trials or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prevailing economic conditions;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business disruptions caused by earthquakes or other natural disasters;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disputes concerning our intellectual property or other proprietary rights;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FDA or other U.S. or foreign regulatory actions affecting us or our industry;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sales of our common stock by the company, our executive officers and directors or our stockholders in the future;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future sales or issuances of equity or debt securities by us;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84" w:right="419" w:bottom="1440" w:gutter="0" w:footer="0" w:header="0"/>
        </w:sectPr>
      </w:pPr>
    </w:p>
    <w:bookmarkStart w:id="29" w:name="page30"/>
    <w:bookmarkEnd w:id="29"/>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lack of an active, liquid and orderly market in our common stock;</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fluctuations in our quarterly operating results;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issuance of new or changed securities analysts’ reports or recommendations regarding us.</w:t>
      </w:r>
    </w:p>
    <w:p>
      <w:pPr>
        <w:spacing w:after="0" w:line="225" w:lineRule="exact"/>
        <w:rPr>
          <w:sz w:val="20"/>
          <w:szCs w:val="20"/>
          <w:color w:val="auto"/>
        </w:rPr>
      </w:pPr>
    </w:p>
    <w:p>
      <w:pPr>
        <w:ind w:right="220" w:firstLine="510"/>
        <w:spacing w:after="0" w:line="296" w:lineRule="auto"/>
        <w:rPr>
          <w:sz w:val="20"/>
          <w:szCs w:val="20"/>
          <w:color w:val="auto"/>
        </w:rPr>
      </w:pPr>
      <w:r>
        <w:rPr>
          <w:rFonts w:ascii="Arial" w:cs="Arial" w:eastAsia="Arial" w:hAnsi="Arial"/>
          <w:sz w:val="16"/>
          <w:szCs w:val="16"/>
          <w:color w:val="auto"/>
        </w:rPr>
        <w:t>In addition, the stock markets in general, and the markets for pharmaceutical, biopharmaceutical and biotechnology stocks in particular, have experienced extreme volatility that have been often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short operating history may make it difficult for stockholders to evaluate the success of our business to date and to assess our future viability.</w:t>
      </w:r>
    </w:p>
    <w:p>
      <w:pPr>
        <w:spacing w:after="0" w:line="140"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We are a clinical-stage biopharmaceutical company with a limited operating history. We commenced active operations in 2014. Our operations to date have been limited to organizing and staffing our company, research and development activities, business planning and raising capital. In April 2018, we announced that we dosed the first patient in our Phase 1b/2a clinical trial of SYNB1020 for treatment of hyperammonemia in patients with cirrhosis. Based on the data obtained in this clinical trial, the SYNB1020 program was discontinued in August 2019. In April 2018, we dosed our first subject in a Phase 1/2a clinical trial of SYNB1618 which is being developed for the treatment of patients with PKU. In January 2020, we announced that we had dosed the first subject in our Phase 1 clinical trial of SYNB1891 which is being developed for the treatment of patients with solid tumors and lymphoma. In November of 2020, we announced that we had initiated the Phase 2 clinical study of SYNB1618 and the Phase 1 study of SYNB8802. All of our other therapeutic programs are still in the preclinical or clinical development stage. We will need to transition from a company with a focus on research and clinical development to a company capable of commercial activities. We have not yet demonstrated our ability to successfully complete large-scale, pivotal clinical trials, obtain marketing approvals, manufacture a commercial-scale product, or arrange for a third-party to do so on our behalf, or conduct sales and marketing activities necessary for successful product commercialization. Typically, it takes many years to develop one new product candidate from the time it is discovered to the time that it becomes available for treating patients. We may encounter unforeseen expenses, difficulties, complications, delays and other known and unknown factors that may hinder our success in commercializing one or more of our product candidates. Further, drug development is a capital-intensive and highly speculative undertaking that involves a substantial degree of risk. You should consider our prospects in light of the costs, uncertainties, delays and difficulties frequently encountered by companies in the early stages of development and clinical trials. Any forward-looking statements regarding our future prospects, plans or viability may not be as accurate as they may be if we had a longer operating history or a history of successfully developing and commercializing pharmaceutical products.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Clinical trials are costly, time consuming and inherently risky, and we may fail to demonstrate safety and efficacy to the satisfaction of applicable regulatory authorities.</w:t>
      </w:r>
    </w:p>
    <w:p>
      <w:pPr>
        <w:spacing w:after="0" w:line="62" w:lineRule="exact"/>
        <w:rPr>
          <w:sz w:val="20"/>
          <w:szCs w:val="20"/>
          <w:color w:val="auto"/>
        </w:rPr>
      </w:pPr>
    </w:p>
    <w:p>
      <w:pPr>
        <w:ind w:right="60" w:firstLine="510"/>
        <w:spacing w:after="0" w:line="311" w:lineRule="auto"/>
        <w:rPr>
          <w:sz w:val="20"/>
          <w:szCs w:val="20"/>
          <w:color w:val="auto"/>
        </w:rPr>
      </w:pPr>
      <w:r>
        <w:rPr>
          <w:rFonts w:ascii="Arial" w:cs="Arial" w:eastAsia="Arial" w:hAnsi="Arial"/>
          <w:sz w:val="16"/>
          <w:szCs w:val="16"/>
          <w:color w:val="auto"/>
        </w:rPr>
        <w:t>Clinical development of a product candidate is expensive, time consuming and involves significant risk. We cannot guarantee that any clinical trials we undertake to conduct will be conducted as planned or completed on schedule or at all. A failure of one or more clinical trials can occur at any stage of development. Events that may prevent successful or timely completion of clinical development of our product candidates include but are not limited to:</w:t>
      </w:r>
    </w:p>
    <w:p>
      <w:pPr>
        <w:spacing w:after="0" w:line="41" w:lineRule="exact"/>
        <w:rPr>
          <w:sz w:val="20"/>
          <w:szCs w:val="20"/>
          <w:color w:val="auto"/>
        </w:rPr>
      </w:pPr>
    </w:p>
    <w:p>
      <w:pPr>
        <w:ind w:left="1000" w:right="140" w:hanging="493"/>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inability to generate satisfactory preclinical or other nonclinical data, including, toxicology, or other in vivo or in vitro data or diagnostics to support the initiation or continuation of clinical trials;</w:t>
      </w:r>
    </w:p>
    <w:p>
      <w:pPr>
        <w:spacing w:after="0" w:line="62" w:lineRule="exact"/>
        <w:rPr>
          <w:rFonts w:ascii="Arial" w:cs="Arial" w:eastAsia="Arial" w:hAnsi="Arial"/>
          <w:sz w:val="18"/>
          <w:szCs w:val="18"/>
          <w:color w:val="auto"/>
        </w:rPr>
      </w:pPr>
    </w:p>
    <w:p>
      <w:pPr>
        <w:ind w:left="1000" w:right="800" w:hanging="493"/>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CROs and clinical trial sites, the terms of which can be subject to extensive negotiation and may vary significantly among different CROs and clinical trial sites;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in obtaining required institutional review board approval at each clinical trial site;</w:t>
      </w:r>
    </w:p>
    <w:p>
      <w:pPr>
        <w:spacing w:after="0" w:line="117" w:lineRule="exact"/>
        <w:rPr>
          <w:rFonts w:ascii="Arial" w:cs="Arial" w:eastAsia="Arial" w:hAnsi="Arial"/>
          <w:sz w:val="18"/>
          <w:szCs w:val="18"/>
          <w:color w:val="auto"/>
        </w:rPr>
      </w:pPr>
    </w:p>
    <w:p>
      <w:pPr>
        <w:ind w:left="1000" w:right="380" w:hanging="493"/>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permit the conduct of a clinical trial by regulatory authorities, after review of an investigational new drug or equivalent foreign application or amendment;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in recruiting qualified patients in our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by clinical sites or CROs or other third parties to adhere to clinical trial requirements;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30" w:name="page31"/>
    <w:bookmarkEnd w:id="30"/>
    <w:p>
      <w:pPr>
        <w:ind w:left="1000" w:right="100" w:hanging="493"/>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by us, clinical sites, CROs or other third parties to perform in accordance with the good clinical practices requirements of the FDA or applicable foreign regulatory guidelines;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patients dropping out of the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occurrence of adverse events, unacceptable side effects or toxicity issues associated with our product candidates;</w:t>
      </w:r>
    </w:p>
    <w:p>
      <w:pPr>
        <w:spacing w:after="0" w:line="117"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imposition by the FDA of a clinical hold or the requirement by other similar regulatory agencies that one or more clinical trials be delayed or halted;</w:t>
      </w:r>
    </w:p>
    <w:p>
      <w:pPr>
        <w:spacing w:after="0" w:line="62" w:lineRule="exact"/>
        <w:rPr>
          <w:rFonts w:ascii="Arial" w:cs="Arial" w:eastAsia="Arial" w:hAnsi="Arial"/>
          <w:sz w:val="18"/>
          <w:szCs w:val="18"/>
          <w:color w:val="auto"/>
        </w:rPr>
      </w:pPr>
    </w:p>
    <w:p>
      <w:pPr>
        <w:ind w:left="1000" w:right="600" w:hanging="493"/>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 or performing additional nonclinical studies;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ultimate affordability of the cost of clinical trials of our product candidates;</w:t>
      </w:r>
    </w:p>
    <w:p>
      <w:pPr>
        <w:spacing w:after="0" w:line="117" w:lineRule="exact"/>
        <w:rPr>
          <w:rFonts w:ascii="Arial" w:cs="Arial" w:eastAsia="Arial" w:hAnsi="Arial"/>
          <w:sz w:val="18"/>
          <w:szCs w:val="18"/>
          <w:color w:val="auto"/>
        </w:rPr>
      </w:pPr>
    </w:p>
    <w:p>
      <w:pPr>
        <w:ind w:left="1000" w:right="20" w:hanging="493"/>
        <w:spacing w:after="0" w:line="263"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negative or inconclusive results from our clinical trials that may result in us deciding, or regulators requiring us, to conduct additional clinical trials or abandon such clinical trials and/or clinical trials or development programs in other ongoing or planned indications for a product candidate; and</w:t>
      </w:r>
    </w:p>
    <w:p>
      <w:pPr>
        <w:spacing w:after="0" w:line="75" w:lineRule="exact"/>
        <w:rPr>
          <w:rFonts w:ascii="Arial" w:cs="Arial" w:eastAsia="Arial" w:hAnsi="Arial"/>
          <w:sz w:val="18"/>
          <w:szCs w:val="18"/>
          <w:color w:val="auto"/>
        </w:rPr>
      </w:pPr>
    </w:p>
    <w:p>
      <w:pPr>
        <w:ind w:left="1000" w:right="160" w:hanging="493"/>
        <w:spacing w:after="0" w:line="263"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delays in identifying or reaching agreement on acceptable terms with third-party manufacturers, delays in developing and transferring a reproducible, scalable manufacturing process, or delays or failure in manufacturing sufficient quantities of our product candidates for use in clinical trials.</w:t>
      </w:r>
    </w:p>
    <w:p>
      <w:pPr>
        <w:spacing w:after="0" w:line="184"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Any inability to successfully complete clinical development and obtain regulatory approval for our product candidates could result in additional costs to us or impair our ability to generate revenue. In addition, if we make manufacturing or formulation changes to our product candidates, we may need to conduct additional preclinical studies and/or clinical trials, or the results obtained from such new formulation may not be consistent with previous results obtained. Clinical trial delays could also shorten any anticipated periods of patent exclusivity for our product candidates and may allow competitors to develop and bring products to market before we do, which could impair our ability to successfully commercialize our product candidates and may harm our business and results of operations.</w:t>
      </w:r>
    </w:p>
    <w:p>
      <w:pPr>
        <w:spacing w:after="0" w:line="30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approach we are taking to discover and develop novel therapeutics using synthetic biology to create novel medicines is unproven and may never lead to marketable products.</w:t>
      </w:r>
    </w:p>
    <w:p>
      <w:pPr>
        <w:spacing w:after="0" w:line="62"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The scientific discoveries that form the basis for our efforts to generate and develop our product candidates are relatively recent. The scientific evidence to support the feasibility of developing drugs based on our approach is both preliminary and limited. Synthetic Biotic medicines represent a novel therapeutic modality and their successful development by us may require additional studies and efforts to optimize their therapeutic potential. Any product candidates that we develop may not demonstrate in patients the therapeutic properties ascribed to them in laboratory and other preclinical studies, and they may interact with human biological systems in unforeseen, ineffective or even harmful ways. If we are not able to successfully develop and commercialize product candidates based upon this technological approach, we may never become profitable and the value of our capital stock may decline.</w:t>
      </w:r>
    </w:p>
    <w:p>
      <w:pPr>
        <w:spacing w:after="0" w:line="27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Synthetic Biotic product candidates are based on a relatively novel technology, which makes it difficult to predict the time and cost of development and of subsequently obtaining regulatory approval, if at all.</w:t>
      </w:r>
    </w:p>
    <w:p>
      <w:pPr>
        <w:spacing w:after="0" w:line="62" w:lineRule="exact"/>
        <w:rPr>
          <w:sz w:val="20"/>
          <w:szCs w:val="20"/>
          <w:color w:val="auto"/>
        </w:rPr>
      </w:pPr>
    </w:p>
    <w:p>
      <w:pPr>
        <w:ind w:right="240" w:firstLine="510"/>
        <w:spacing w:after="0" w:line="279" w:lineRule="auto"/>
        <w:rPr>
          <w:sz w:val="20"/>
          <w:szCs w:val="20"/>
          <w:color w:val="auto"/>
        </w:rPr>
      </w:pPr>
      <w:r>
        <w:rPr>
          <w:rFonts w:ascii="Arial" w:cs="Arial" w:eastAsia="Arial" w:hAnsi="Arial"/>
          <w:sz w:val="17"/>
          <w:szCs w:val="17"/>
          <w:color w:val="auto"/>
        </w:rPr>
        <w:t>We have concentrated our research and development efforts to date on a limited number of product candidates based on our Synthetic Biotic therapeutic platform and identifying our initial targeted disease indications. Our future success depends on our successful development of viable product candidates. There can be no assurance that we will not experience problems or delays in developing our product candidates and that such problems or delays will not cause unanticipated costs, or that any such development problems can be solved.</w:t>
      </w:r>
    </w:p>
    <w:p>
      <w:pPr>
        <w:spacing w:after="0" w:line="171" w:lineRule="exact"/>
        <w:rPr>
          <w:sz w:val="20"/>
          <w:szCs w:val="20"/>
          <w:color w:val="auto"/>
        </w:rPr>
      </w:pPr>
    </w:p>
    <w:p>
      <w:pPr>
        <w:ind w:right="120" w:firstLine="510"/>
        <w:spacing w:after="0" w:line="270" w:lineRule="auto"/>
        <w:rPr>
          <w:sz w:val="20"/>
          <w:szCs w:val="20"/>
          <w:color w:val="auto"/>
        </w:rPr>
      </w:pPr>
      <w:r>
        <w:rPr>
          <w:rFonts w:ascii="Arial" w:cs="Arial" w:eastAsia="Arial" w:hAnsi="Arial"/>
          <w:sz w:val="17"/>
          <w:szCs w:val="17"/>
          <w:color w:val="auto"/>
        </w:rPr>
        <w:t>The clinical trial and manufacturing requirements of the FDA, the European Medicines Agency and other regulatory authorities, and the criteria these regulators use to determine the safety and efficacy of a product candidate, vary substantially according to the type, complexity, novelty and intended use and market of the product candidate. The regulatory approval process for novel product candidates such as Synthetic Biotic medicines may be more expensive and take longer than for other, better known or more extensively studied therapeutic modalities. It is difficult to determine how long it will take or how much it will cost to obtain regulatory approvals for our product candidates in either the United States or the European Union or how long it will take to commercialize our product candidates, even if approved for marketing. Approvals by the European Medicines Agency or national regulatory agencies may not be indicative of what the FDA, and vice versa, may require for approval and different or additional preclinical studies or clinical trials may be required to support regulatory approval in each respective jurisdiction. Delay or failure to obtain, or unexpected costs in obtaining, the regulatory approval necessary to bring a potential product candidate to market could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31" w:name="page32"/>
    <w:bookmarkEnd w:id="31"/>
    <w:p>
      <w:pPr>
        <w:spacing w:after="0"/>
        <w:rPr>
          <w:sz w:val="20"/>
          <w:szCs w:val="20"/>
          <w:color w:val="auto"/>
        </w:rPr>
      </w:pPr>
      <w:r>
        <w:rPr>
          <w:rFonts w:ascii="Arial" w:cs="Arial" w:eastAsia="Arial" w:hAnsi="Arial"/>
          <w:sz w:val="16"/>
          <w:szCs w:val="16"/>
          <w:color w:val="auto"/>
        </w:rPr>
        <w:t>decrease our ability to generate sufficient product revenue, and our business, financial condition, results of operations and prospects may be harmed.</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use and expand our development platform to build a pipeline of product candidates.</w:t>
      </w:r>
    </w:p>
    <w:p>
      <w:pPr>
        <w:spacing w:after="0" w:line="117"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A key element of our strategy is to use our targeted focus and experienced management and scientific team to create Synthetic Biotic medicines that can be deployed against a broad range of human diseases in order to build a pipeline of product candidates. Although our research and development efforts to date have resulted in potential product candidates, we may not be able to continue to identify and develop additional product candidates. Even if we are successful in continuing to build our pipeline, the potential product candidates that we identify may not be suitable for clinical development. For example, these potential product candidates may be shown to have harmful side effects or other characteristics that indicate that they are unlikely to be drugs that will receive marketing approval and achieve market acceptance. If we do not successfully develop and commercialize product candidates based upon our approach, we will not be able to obtain product revenue in future periods, which likely would result in significant harm to our financial position. There is no assurance that we will be successful in our preclinical and clinical development, and the process of obtaining regulatory approvals will, in any event, require the expenditure of substantial time and financial resources.</w:t>
      </w:r>
    </w:p>
    <w:p>
      <w:pPr>
        <w:spacing w:after="0" w:line="289"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viability of an approved label, or result in significant negative consequences following marketing approval, if any.</w:t>
      </w:r>
    </w:p>
    <w:p>
      <w:pPr>
        <w:spacing w:after="0" w:line="16" w:lineRule="exact"/>
        <w:rPr>
          <w:sz w:val="20"/>
          <w:szCs w:val="20"/>
          <w:color w:val="auto"/>
        </w:rPr>
      </w:pPr>
    </w:p>
    <w:p>
      <w:pPr>
        <w:jc w:val="both"/>
        <w:ind w:right="100" w:firstLine="510"/>
        <w:spacing w:after="0" w:line="311" w:lineRule="auto"/>
        <w:rPr>
          <w:sz w:val="20"/>
          <w:szCs w:val="20"/>
          <w:color w:val="auto"/>
        </w:rPr>
      </w:pPr>
      <w:r>
        <w:rPr>
          <w:rFonts w:ascii="Arial" w:cs="Arial" w:eastAsia="Arial" w:hAnsi="Arial"/>
          <w:sz w:val="16"/>
          <w:szCs w:val="16"/>
          <w:color w:val="auto"/>
        </w:rPr>
        <w:t>Undesirable side effects caused by our product candidates could cause us or regulatory authorities to interrupt, delay or terminate our clinical trials or result in a restrictive label or delay regulatory approval by the FDA or comparable foreign authorities. Undesirable side effects and negative results for other indications may negatively impact the development and potential for approval of our product candidates for their proposed indications.</w:t>
      </w:r>
    </w:p>
    <w:p>
      <w:pPr>
        <w:spacing w:after="0" w:line="149"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Additionally, even if one or more of our product candidates receives marketing approval, and we or others later identify undesirable side effects caused by such products, potentially significant negative consequences could result, including but not limited to:</w:t>
      </w:r>
    </w:p>
    <w:p>
      <w:pPr>
        <w:spacing w:after="0" w:line="62" w:lineRule="exact"/>
        <w:rPr>
          <w:sz w:val="20"/>
          <w:szCs w:val="20"/>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authorities may withdraw approvals of or revoke licenses for such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labels of such products;</w:t>
      </w:r>
    </w:p>
    <w:p>
      <w:pPr>
        <w:spacing w:after="0" w:line="117"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required to create a REMS plan, which could include a medication guide outlining the risks of such side effects for distribution to patients, a communication plan for healthcare providers, and/or other elements to assure safe use;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640" w:firstLine="51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a product candidate, even if approved, and could significantly harm our business, results of operations, and prospects.</w:t>
      </w:r>
    </w:p>
    <w:p>
      <w:pPr>
        <w:spacing w:after="0" w:line="2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Our product development program may not uncover all possible adverse events that patients who take our product candidates may experience. The number of subjects exposed to our product candidates during clinical trials and the average exposure time in the clinical development program may be inadequate to detect rare adverse events, or chance findings, that may only be detected once the product is administered to more patients and for greater periods of time.</w:t>
      </w:r>
    </w:p>
    <w:p>
      <w:pPr>
        <w:spacing w:after="0" w:line="79" w:lineRule="exact"/>
        <w:rPr>
          <w:sz w:val="20"/>
          <w:szCs w:val="20"/>
          <w:color w:val="auto"/>
        </w:rPr>
      </w:pPr>
    </w:p>
    <w:p>
      <w:pPr>
        <w:ind w:right="180" w:firstLine="510"/>
        <w:spacing w:after="0" w:line="255" w:lineRule="auto"/>
        <w:rPr>
          <w:sz w:val="20"/>
          <w:szCs w:val="20"/>
          <w:color w:val="auto"/>
        </w:rPr>
      </w:pPr>
      <w:r>
        <w:rPr>
          <w:rFonts w:ascii="Arial" w:cs="Arial" w:eastAsia="Arial" w:hAnsi="Arial"/>
          <w:sz w:val="18"/>
          <w:szCs w:val="18"/>
          <w:color w:val="auto"/>
        </w:rPr>
        <w:t>Clinical trials by their nature use a sample of the potential patient population. However, with a limited number of patients and limited duration of exposure, we cannot be fully assured that uncommon or severe side effects of our product candidates will be uncovered. Such side effects may only be uncovered with a significantly larger number of patients exposed to the drug. If such safety problems occur or are identified after a product candidate reaches the market, the FDA may require that we amend the labeling of the product or recall the product or may even withdraw approval for the product. Any of these events could prevent us from achieving or maintaining market acceptance of a product candidate, even if approved, and could significantly harm our business, results of operations, and prospects.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32" w:name="page33"/>
    <w:bookmarkEnd w:id="32"/>
    <w:p>
      <w:pPr>
        <w:ind w:right="40"/>
        <w:spacing w:after="0" w:line="259" w:lineRule="auto"/>
        <w:rPr>
          <w:sz w:val="20"/>
          <w:szCs w:val="20"/>
          <w:color w:val="auto"/>
        </w:rPr>
      </w:pPr>
      <w:r>
        <w:rPr>
          <w:rFonts w:ascii="Arial" w:cs="Arial" w:eastAsia="Arial" w:hAnsi="Arial"/>
          <w:sz w:val="18"/>
          <w:szCs w:val="18"/>
          <w:b w:val="1"/>
          <w:bCs w:val="1"/>
          <w:i w:val="1"/>
          <w:iCs w:val="1"/>
          <w:color w:val="auto"/>
        </w:rPr>
        <w:t>We are heavily dependent on the success of our product candidates. Some of our product candidates have produced results in preclinical settings to date, but none of our product candidates has completed all required clinical trials, and we cannot give any assurance that we will generate data for any of our product candidates sufficient to receive regulatory approval in our planned indications, which will be required before they can be commercialized.</w:t>
      </w:r>
    </w:p>
    <w:p>
      <w:pPr>
        <w:spacing w:after="0" w:line="79" w:lineRule="exact"/>
        <w:rPr>
          <w:sz w:val="20"/>
          <w:szCs w:val="20"/>
          <w:color w:val="auto"/>
        </w:rPr>
      </w:pPr>
    </w:p>
    <w:p>
      <w:pPr>
        <w:ind w:right="320" w:firstLine="510"/>
        <w:spacing w:after="0" w:line="311" w:lineRule="auto"/>
        <w:rPr>
          <w:sz w:val="20"/>
          <w:szCs w:val="20"/>
          <w:color w:val="auto"/>
        </w:rPr>
      </w:pPr>
      <w:r>
        <w:rPr>
          <w:rFonts w:ascii="Arial" w:cs="Arial" w:eastAsia="Arial" w:hAnsi="Arial"/>
          <w:sz w:val="16"/>
          <w:szCs w:val="16"/>
          <w:color w:val="auto"/>
        </w:rPr>
        <w:t>We have invested substantially all of our efforts and financial resources to identify, acquire and develop our portfolio of product candidates. Our future success is dependent on our ability to successfully further develop, obtain regulatory approval for, and commercialize one or more product candidates. We currently generate no revenue from sales of any products, and we may never be able to develop or commercialize a product candidate.</w:t>
      </w:r>
    </w:p>
    <w:p>
      <w:pPr>
        <w:spacing w:after="0" w:line="149"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On August 20, 2019, we announced that we were discontinuing our first therapeutic program to enter clinical trials, SYNB1020, an early stage clinical product candidate for the treatment of hyperammonemia. The decision to discontinue the program was based on top-line data from an interim analysis of a randomized, double-blind, placebo-controlled Phase 1b/2a study of the Synthetic Biotic medicine in 23 patients with cirrhosis and elevated blood ammonia. While SYNB1020 was well tolerated in Phase 1b/2a study, the study showed it did not lower blood ammonia in patients with cirrhosis. As a result, we have become more dependent on the success of our SYNB1618, SYNB8802 and SYNB1891 programs.</w:t>
      </w:r>
    </w:p>
    <w:p>
      <w:pPr>
        <w:spacing w:after="0" w:line="176"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In addition, none of our product candidates has advanced into any pivotal clinical trial for our proposed indications and it may be years before any pivotal clinical trials are initiated and completed, if at all. We are not permitted to market or promote any of our product candidates before we receive regulatory approval from the FDA or comparable foreign regulatory authorities, and we may never receive such regulatory approval for any of our product candidates. We cannot be certain that any of our product candidates will be successful in clinical trials or receive regulatory approval. Further, our product candidates may not receive regulatory approval even if they are successful in clinical trials. If we do not receive regulatory approvals for our product candidates, we may not be able to continue our operations.</w:t>
      </w:r>
    </w:p>
    <w:p>
      <w:pPr>
        <w:spacing w:after="0" w:line="30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fail to obtain or maintain orphan drug exclusivity for some of our products, our competitors may obtain approval to sell competing drugs to treat the same conditions and our revenues will be reduced.</w:t>
      </w:r>
    </w:p>
    <w:p>
      <w:pPr>
        <w:spacing w:after="0" w:line="62"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As part of our business strategy, we have developed and may in the future develop product candidates that may be eligible for FDA and European Commission orphan drug designation. In October 2017, the FDA granted orphan drug designation to SYNB1618 for the treatment of PKU. Under the Orphan Drug Act, the FDA may designate a product as an orphan drug if it is intended to treat, diagnose or prevent rare diseases or conditions that affect fewer than 200,000 people in the United States. In the EU, orphan drug designation may be granted to drugs intended to treat, diagnose or prevent a life-threatening or chronically debilitating disease having a prevalence of no more than five in 10,000 people in the EU. The company that first obtains FDA approval for a designated orphan drug for the associated rare disease receives marketing exclusivity for use of that drug for the stated condition for a period of seven years. Orphan drug exclusive marketing rights may be lost under several circumstances, including a later determination by the FDA that the request for designation was materially defective or if the manufacturer is unable to assure sufficient quantity of the drug. Similar regulations are in effect in the EU with a ten-year period of market exclusivity.</w:t>
      </w:r>
    </w:p>
    <w:p>
      <w:pPr>
        <w:spacing w:after="0" w:line="18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Because the extent and scope of patent protection for some of our product candidates may be limited, obtaining orphan drug designation is especially important for any product candidates that may be eligible for orphan drug designation. For eligible products, we plan to rely on the exclusivity period under the Orphan Drug Act to maintain a competitive position. If we do not obtain orphan drug designation for our product candidates that do not have broad patent protection, our competitors may then seek to sell a competing drug to treat the same condition and our revenues, if any, may be adversely affected thereby.</w:t>
      </w:r>
    </w:p>
    <w:p>
      <w:pPr>
        <w:spacing w:after="0" w:line="188"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Even though we have obtained orphan drug designation for certain of our product candidates and intend to seek orphan drug designation for other product candidates, there is no assurance that we will be the first to obtain marketing approval for any particular rare indication. Further, even though we have obtained orphan drug designation for certain of our product candidates, or even if we obtain orphan drug designation for other potential product candidates, such designation may not effectively protect us from competition because different drugs can be approved for the same condition and the same drug can be approved for different conditions and potentially used off-label in the orphan indication. Even after an orphan drug is approved, the FDA can subsequently approve a competing drug for the same condition for several reasons, including, if the FDA concludes that the later drug is safer or more effective or makes a major contribution to patient care. Orphan drug designation neither shortens the development time or regulatory review time of a drug, nor gives the drug any advantage in the regulatory review or approval process.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33" w:name="page34"/>
    <w:bookmarkEnd w:id="33"/>
    <w:p>
      <w:pPr>
        <w:ind w:right="180"/>
        <w:spacing w:after="0" w:line="277" w:lineRule="auto"/>
        <w:rPr>
          <w:sz w:val="20"/>
          <w:szCs w:val="20"/>
          <w:color w:val="auto"/>
        </w:rPr>
      </w:pPr>
      <w:r>
        <w:rPr>
          <w:rFonts w:ascii="Arial" w:cs="Arial" w:eastAsia="Arial" w:hAnsi="Arial"/>
          <w:sz w:val="18"/>
          <w:szCs w:val="18"/>
          <w:b w:val="1"/>
          <w:bCs w:val="1"/>
          <w:i w:val="1"/>
          <w:iCs w:val="1"/>
          <w:color w:val="auto"/>
        </w:rPr>
        <w:t>Product development involves a lengthy and expensive process with an uncertain outcome, and results of earlier preclinical studies and clinical trials may not be predictive of future clinical trial results.</w:t>
      </w:r>
    </w:p>
    <w:p>
      <w:pPr>
        <w:spacing w:after="0" w:line="62"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The results from preclinical studies or early clinical trials of a product candidate may not predict the results that will be obtained in subsequent subjects or in later stage clinical trials of that product candidate or any other product candidate. Flaws in the design of a clinical trial may not become apparent until the clinical trial is well advanced. We have limited experience in designing clinical trials and we may be unable to design and execute clinical trials to support regulatory approval of our product candidates. In addition, preclinical study and clinical trial data are often susceptible to varying interpretations and analyses. Product candidates that seemingly perform satisfactorily in preclinical studies and clinical trials may nonetheless fail to obtain regulatory approval. There is a high failure rate for drugs proceeding through clinical trials. A number of companies in the pharmaceutical and biotechnology industries have suffered significant setbacks in clinical development even after achieving promising results in earlier studies, and any such setbacks in our clinical development could negatively affect our business and operating results.</w:t>
      </w:r>
    </w:p>
    <w:p>
      <w:pPr>
        <w:spacing w:after="0" w:line="28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costs might be higher than expected and our receipt of necessary regulatory approvals could be delayed or prevented.</w:t>
      </w:r>
    </w:p>
    <w:p>
      <w:pPr>
        <w:spacing w:after="0" w:line="62"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Clinical trials of a new product candidate require the enrollment of a sufficient number of patients suffering from the disease or condition the product candidate is intended to treat and who meet other eligibility criteria. Rates of patient enrollment are affected by many factors, including the size of the potential patient population, the age and condition of the patients, the stage and severity of disease or condition, the nature and requirements of the protocol, the proximity of patients to clinical sites, the availability of effective treatments for the relevant disease or condition, the perceived risks, benefits and convenience of administration of the product candidate being studied, the patient referral practices of physicians, our efforts to facilitate timely enrollment in clinical trials, and the eligibility criteria for the clinical trial. Delays or difficulties in patient enrollment or difficulties retaining trial participants, including as a result of the availability of existing or other investigational treatments, can result in increased costs, longer development times or termination of a clinical trial.</w:t>
      </w:r>
    </w:p>
    <w:p>
      <w:pPr>
        <w:spacing w:after="0" w:line="192"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In addition, our success may depend, in part, on our ability to identify patients who qualify for our clinical trials, or are likely to benefit from any product candidate that we may develop, which will require those potential patients to undergo a screening assay for the presence or absence of a particular genetic sequence or clinical trait. Genetically defined diseases generally, and especially those for which our current product candidates are targeted, may have relatively low prevalence. For example, we estimate there are approximately 16,500 patients that may be diagnosed with PKU in the United States. If we, or any third parties that we engage to assist us, are unable to successfully identify patients with these diseases, or experience delays in doing so, then we may not realize the full commercial potential of any product candidate we develop.</w:t>
      </w:r>
    </w:p>
    <w:p>
      <w:pPr>
        <w:spacing w:after="0" w:line="286" w:lineRule="exact"/>
        <w:rPr>
          <w:sz w:val="20"/>
          <w:szCs w:val="20"/>
          <w:color w:val="auto"/>
        </w:rPr>
      </w:pPr>
    </w:p>
    <w:p>
      <w:pPr>
        <w:spacing w:after="0" w:line="275" w:lineRule="auto"/>
        <w:rPr>
          <w:sz w:val="20"/>
          <w:szCs w:val="20"/>
          <w:color w:val="auto"/>
        </w:rPr>
      </w:pPr>
      <w:r>
        <w:rPr>
          <w:rFonts w:ascii="Arial" w:cs="Arial" w:eastAsia="Arial" w:hAnsi="Arial"/>
          <w:sz w:val="17"/>
          <w:szCs w:val="17"/>
          <w:b w:val="1"/>
          <w:bCs w:val="1"/>
          <w:i w:val="1"/>
          <w:iCs w:val="1"/>
          <w:color w:val="auto"/>
        </w:rPr>
        <w:t>We may face potential product liability claims, and, if successful claims are brought against us, we may incur substantial liability and costs. If the use or misuse of our product candidates harms patients, or is perceived to harm patients even when such harm is unrelated to our product candidates, our regulatory approvals, if any, could be revoked or otherwise negatively impacted and we could be subject to costly and damaging product liability claims. If we are unable to obtain adequate insurance or are required to pay for liabilities resulting from a claim excluded from, or beyond the limits of, our insurance coverage, such liability could adversely affect our financial condition.</w:t>
      </w:r>
    </w:p>
    <w:p>
      <w:pPr>
        <w:spacing w:after="0" w:line="68"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The use or misuse of our product candidates in clinical trials and the sale of any products for which we may obtain marketing approval exposes us to the risk of potential product liability claims. Product liability claims might be brought against us by consumers, healthcare providers, pharmaceutical companies or others selling or otherwise coming into contact with our product candidates and approved products, if any. There is a risk that our product candidates may induce adverse events. If we cannot successfully defend against product liability claims, we could incur substantial liability and costs. Patients with the diseases targeted by our product candidates may already be in severe and advanced stages of disease and have both known and unknown significant pre-existing and potentially life-threatening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an adverse event is unrelated to our product candidates, the investigation into the circumstance may be time-consuming or inconclusive. These investigations may delay our regulatory approval process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34" w:name="page35"/>
    <w:bookmarkEnd w:id="34"/>
    <w:p>
      <w:pPr>
        <w:ind w:firstLine="510"/>
        <w:spacing w:after="0" w:line="287" w:lineRule="auto"/>
        <w:rPr>
          <w:sz w:val="20"/>
          <w:szCs w:val="20"/>
          <w:color w:val="auto"/>
        </w:rPr>
      </w:pPr>
      <w:r>
        <w:rPr>
          <w:rFonts w:ascii="Arial" w:cs="Arial" w:eastAsia="Arial" w:hAnsi="Arial"/>
          <w:sz w:val="16"/>
          <w:szCs w:val="16"/>
          <w:color w:val="auto"/>
        </w:rPr>
        <w:t>Although we have product liability insurance, which covers any clinical trial we may conduct in the United States, our insurance may be insufficient to reimburse us for any expenses or losses we may suffer. We will also likely be required to increase our product liability insurance coverage for the advanced clinical trials that we plan to initiate. If we obtain marketing approval for any of our product candidates, we will need to expand our insurance coverage to include the sale of commercial products. There is no way to know if we will be able to continue to obtain product liability coverage and obtain expanded coverage we may require, in sufficient amounts to protect us against losses due to liability, on acceptable terms, or at all. We may not have sufficient resources to pay for any liabilities resulting from a claim excluded from, or beyond the limits of, our insurance coverage. Where we have provided indemnities in favor of third parties under our agreements with them, there is also a risk that these third parties could incur liability and bring a claim under such indemnities. An individual may bring a product liability claim against us alleging that one of our product candidates or products causes, or is claimed to have caused, an injury or is found to be unsuitable for consumer use.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Any product liability claim brought against us, with or without merit, could result in:</w:t>
      </w:r>
    </w:p>
    <w:p>
      <w:pPr>
        <w:spacing w:after="0" w:line="64" w:lineRule="exact"/>
        <w:rPr>
          <w:sz w:val="20"/>
          <w:szCs w:val="20"/>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withdrawal of clinical trial volunteers, investigators, patients or trial sites or limitations on approved indications;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inability to commercialize, or if commercialized, decreased demand for,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if commercialized, product recalls, withdrawals of labeling, marketing or promotional restrictions or the need for product modification;</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substantial costs of litigation, including monetary awards to patients or other claimants;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liabilities that substantially exceed our product liability insurance, which we would then be required to pay ourselves;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 increase in our product liability insurance rates or the inability to maintain insurance coverage in the future on acceptable terms, if at all;</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diversion of management’s attention from our business;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damage to our reputation and the reputation of our products and our technology.</w:t>
      </w:r>
    </w:p>
    <w:p>
      <w:pPr>
        <w:spacing w:after="0" w:line="225" w:lineRule="exact"/>
        <w:rPr>
          <w:sz w:val="20"/>
          <w:szCs w:val="20"/>
          <w:color w:val="auto"/>
        </w:rPr>
      </w:pPr>
    </w:p>
    <w:p>
      <w:pPr>
        <w:ind w:right="580" w:firstLine="510"/>
        <w:spacing w:after="0" w:line="277" w:lineRule="auto"/>
        <w:rPr>
          <w:sz w:val="20"/>
          <w:szCs w:val="20"/>
          <w:color w:val="auto"/>
        </w:rPr>
      </w:pPr>
      <w:r>
        <w:rPr>
          <w:rFonts w:ascii="Arial" w:cs="Arial" w:eastAsia="Arial" w:hAnsi="Arial"/>
          <w:sz w:val="18"/>
          <w:szCs w:val="18"/>
          <w:color w:val="auto"/>
        </w:rPr>
        <w:t>Product liability claims may subject us to the foregoing and other risks, which could have a material adverse effect on our business, financial condition or results of operations.</w:t>
      </w:r>
    </w:p>
    <w:p>
      <w:pPr>
        <w:spacing w:after="0" w:line="27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or the third parties upon which we depend may be adversely affected by earthquakes or other natural disasters and our business continuity and disaster recovery plans may not adequately protect us from a serious disaster.</w:t>
      </w:r>
    </w:p>
    <w:p>
      <w:pPr>
        <w:spacing w:after="0" w:line="62"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27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212529"/>
        </w:rPr>
        <w:t>A pandemic, epidemic, or outbreak of an infectious disease, such as COVID-19 may materially and adversely affect our business and our financial results.</w:t>
      </w:r>
    </w:p>
    <w:p>
      <w:pPr>
        <w:spacing w:after="0" w:line="62"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212529"/>
        </w:rPr>
        <w:t>The coronavirus outbreak has affected segments of the global economy and may materially affect our operations, including potentially significant interruption of our clinical trial activities. The continued spread of the coronavirus may result in a period of business disruption, including material delays in our clinical trials. In addition, there could be a potential effect of COVID-19 to the business at FDA or other health authorities, which could result in delays of reviews and approvals, including with respect to our product candidates.</w:t>
      </w:r>
    </w:p>
    <w:p>
      <w:pPr>
        <w:spacing w:after="0" w:line="187" w:lineRule="exact"/>
        <w:rPr>
          <w:sz w:val="20"/>
          <w:szCs w:val="20"/>
          <w:color w:val="auto"/>
        </w:rPr>
      </w:pPr>
    </w:p>
    <w:p>
      <w:pPr>
        <w:jc w:val="both"/>
        <w:ind w:right="60" w:firstLine="510"/>
        <w:spacing w:after="0" w:line="263" w:lineRule="auto"/>
        <w:rPr>
          <w:sz w:val="20"/>
          <w:szCs w:val="20"/>
          <w:color w:val="auto"/>
        </w:rPr>
      </w:pPr>
      <w:r>
        <w:rPr>
          <w:rFonts w:ascii="Arial" w:cs="Arial" w:eastAsia="Arial" w:hAnsi="Arial"/>
          <w:sz w:val="18"/>
          <w:szCs w:val="18"/>
          <w:color w:val="212529"/>
        </w:rPr>
        <w:t>The continued spread globally could also have a material adverse effect on our clinical trial operations in the United States and elsewhere, including our ability to recruit and retain patients and principal investigators and site staff who, as healthcare providers, may have heightened exposure to COVID-19 if an outbreak occurs in their geography.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5" w:name="page36"/>
    <w:bookmarkEnd w:id="35"/>
    <w:p>
      <w:pPr>
        <w:ind w:right="20" w:firstLine="510"/>
        <w:spacing w:after="0" w:line="275" w:lineRule="auto"/>
        <w:rPr>
          <w:sz w:val="20"/>
          <w:szCs w:val="20"/>
          <w:color w:val="auto"/>
        </w:rPr>
      </w:pPr>
      <w:r>
        <w:rPr>
          <w:rFonts w:ascii="Arial" w:cs="Arial" w:eastAsia="Arial" w:hAnsi="Arial"/>
          <w:sz w:val="17"/>
          <w:szCs w:val="17"/>
          <w:color w:val="212529"/>
        </w:rPr>
        <w:t>We are closely monitoring the potential impact of the coronavirus outbreak, and the associated restrictions on travel and work that have been implemented, on our business and pre-clinical and clinical trials. The extent to which the coronavirus impacts us will depend on future developments, which are highly uncertain and cannot be predicted, including new information which may emerge concerning the severity of the coronavirus and the actions to contain the coronavirus or treat its impact, among others. Over the coming weeks and months, we will continue to carefully monitor the situation with respect to each of our clinical trials and follow guidance from local and federal health authorities.</w:t>
      </w:r>
    </w:p>
    <w:p>
      <w:pPr>
        <w:spacing w:after="0" w:line="176" w:lineRule="exact"/>
        <w:rPr>
          <w:sz w:val="20"/>
          <w:szCs w:val="20"/>
          <w:color w:val="auto"/>
        </w:rPr>
      </w:pPr>
    </w:p>
    <w:p>
      <w:pPr>
        <w:ind w:right="220" w:firstLine="510"/>
        <w:spacing w:after="0" w:line="274" w:lineRule="auto"/>
        <w:rPr>
          <w:sz w:val="20"/>
          <w:szCs w:val="20"/>
          <w:color w:val="auto"/>
        </w:rPr>
      </w:pPr>
      <w:r>
        <w:rPr>
          <w:rFonts w:ascii="Arial" w:cs="Arial" w:eastAsia="Arial" w:hAnsi="Arial"/>
          <w:sz w:val="17"/>
          <w:szCs w:val="17"/>
          <w:color w:val="212529"/>
        </w:rPr>
        <w:t xml:space="preserve">COVID-19 may also affect employees of third-party contract research organizations and </w:t>
      </w:r>
      <w:r>
        <w:rPr>
          <w:rFonts w:ascii="Arial" w:cs="Arial" w:eastAsia="Arial" w:hAnsi="Arial"/>
          <w:sz w:val="17"/>
          <w:szCs w:val="17"/>
          <w:color w:val="000000"/>
        </w:rPr>
        <w:t>contract manufacturing organizations</w:t>
      </w:r>
      <w:r>
        <w:rPr>
          <w:rFonts w:ascii="Arial" w:cs="Arial" w:eastAsia="Arial" w:hAnsi="Arial"/>
          <w:sz w:val="17"/>
          <w:szCs w:val="17"/>
          <w:color w:val="212529"/>
        </w:rPr>
        <w:t xml:space="preserve"> located in affected geographies that we rely upon to carry out our clinical trials. In addition, we have taken precautionary measures, and may take additional</w:t>
      </w:r>
    </w:p>
    <w:p>
      <w:pPr>
        <w:ind w:right="20"/>
        <w:spacing w:after="0" w:line="255" w:lineRule="auto"/>
        <w:rPr>
          <w:sz w:val="20"/>
          <w:szCs w:val="20"/>
          <w:color w:val="auto"/>
        </w:rPr>
      </w:pPr>
      <w:r>
        <w:rPr>
          <w:rFonts w:ascii="Arial" w:cs="Arial" w:eastAsia="Arial" w:hAnsi="Arial"/>
          <w:sz w:val="18"/>
          <w:szCs w:val="18"/>
          <w:color w:val="212529"/>
        </w:rPr>
        <w:t>measures, intended to help minimize the risk of the virus to our employees, including temporarily requiring all employees to work remotely, suspending all non-essential travel worldwide for our employees, and discouraging employee attendance at industry events and in-person work-related meetings, which could negatively affect our business.</w:t>
      </w:r>
    </w:p>
    <w:p>
      <w:pPr>
        <w:spacing w:after="0" w:line="190"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212529"/>
        </w:rPr>
        <w:t>We cannot presently predict the extent to which current or future business shutdowns and disruptions may impact or limit our ability or the ability of any of the third parties with which we engage to conduct business in the manner and on the timelines presently planned. Any such impacts or limitations could have a material adverse impact on our business and our results of operation and financial condition. While the potential economic impact brought by and the duration of the coronavirus outbreak may be difficult to assess or predict, a widespread pandemic could result in significant disruption of global financial markets, potentially reducing our ability to access capital, which could in the future negatively affect our liquidity. In addition, a recession or market correction resulting from the spread of COVID-19 could materially affect our business and the value of our common stock.</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12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We may seek breakthrough therapy designation for one or more of our product candidates, but we might not receive such designation, and even if we do, such designation may not lead to a faster development or regulatory review or approval process, and it does not increase the likelihood that our product candidates will receive marketing approval.</w:t>
      </w:r>
    </w:p>
    <w:p>
      <w:pPr>
        <w:spacing w:after="0" w:line="76" w:lineRule="exact"/>
        <w:rPr>
          <w:sz w:val="20"/>
          <w:szCs w:val="20"/>
          <w:color w:val="auto"/>
        </w:rPr>
      </w:pPr>
    </w:p>
    <w:p>
      <w:pPr>
        <w:jc w:val="both"/>
        <w:ind w:right="40" w:firstLine="510"/>
        <w:spacing w:after="0" w:line="293" w:lineRule="auto"/>
        <w:rPr>
          <w:sz w:val="20"/>
          <w:szCs w:val="20"/>
          <w:color w:val="auto"/>
        </w:rPr>
      </w:pPr>
      <w:r>
        <w:rPr>
          <w:rFonts w:ascii="Arial" w:cs="Arial" w:eastAsia="Arial" w:hAnsi="Arial"/>
          <w:sz w:val="16"/>
          <w:szCs w:val="16"/>
          <w:color w:val="auto"/>
        </w:rPr>
        <w:t>We may seek a breakthrough therapy designation from the FDA for some of our product candidates. A breakthrough therapy is defined as a drug or biological product that is intended, alone or in combination with one or more other drugs, to treat a serious or life-threatening disease or condition, and for which preliminary clinical evidence indicates that the drug or biological product may demonstrate substantial improvement over existing therapies on one or more clinically significant endpoints, such as substantial treatment effects observed early in clinical development. For drugs or biological products that have been designated as breakthrough therapies, interaction and communication between the FDA and the sponsor of the trial can help to identify the most efficient path for clinical development. Drugs designated as breakthrough therapies by the FDA could also be eligible for accelerated approval.</w:t>
      </w:r>
    </w:p>
    <w:p>
      <w:pPr>
        <w:spacing w:after="0" w:line="164"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and are designated as breakthrough therapies, the FDA may later decide that the drugs or biological products no longer meet the conditions for designation and the designation may be rescinded.</w:t>
      </w:r>
    </w:p>
    <w:p>
      <w:pPr>
        <w:spacing w:after="0" w:line="28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may seek Fast-Track designation for one or more of our product candidates, but we might not receive such designation, and even if we do, such designation may not actually lead to a faster development or regulatory review or approval process.</w:t>
      </w:r>
    </w:p>
    <w:p>
      <w:pPr>
        <w:spacing w:after="0" w:line="62"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If a product candidate is intended for the treatment of a serious condition and nonclinical or clinical data demonstrate the potential to address unmet medical need for the condition, a product sponsor may apply for FDA Fast-Track designation. We were awarded Fast-Track designation for SYNB1618 in April 2018. Fast-Track designation does not ensure that we will receive marketing approval for the product candidate or that approval will be granted within any particular timeframe. We may not experience a faster development or regulatory review or approval process with Fast-Track designation compared to conventional FDA procedures. In addition, the FDA may withdraw Fast-Track designation if it believes that the designation is no longer supported by data from our clinical development program. Fast-Track designation alone does not guarantee qualification for the FDA’s priority review procedures.</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we will remain subject to ongoing regulatory requirements.</w:t>
      </w:r>
    </w:p>
    <w:p>
      <w:pPr>
        <w:spacing w:after="0" w:line="117"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If any of our product candidates are approved for marketing, we will be subject to ongoing regulatory requirements, including with respect to manufacturing, labeling, packaging, storage, advertising, promotion, sampling, record-keeping, conduct of post-marketing clinical trials, and submission of safety, efficacy and other post-approval information, including both federal and state requirements in the United States and requirements of comparable foreign regulatory authorities.</w:t>
      </w:r>
    </w:p>
    <w:p>
      <w:pPr>
        <w:spacing w:after="0" w:line="187" w:lineRule="exact"/>
        <w:rPr>
          <w:sz w:val="20"/>
          <w:szCs w:val="20"/>
          <w:color w:val="auto"/>
        </w:rPr>
      </w:pPr>
    </w:p>
    <w:p>
      <w:pPr>
        <w:ind w:right="140" w:firstLine="510"/>
        <w:spacing w:after="0" w:line="301" w:lineRule="auto"/>
        <w:rPr>
          <w:sz w:val="20"/>
          <w:szCs w:val="20"/>
          <w:color w:val="auto"/>
        </w:rPr>
      </w:pPr>
      <w:r>
        <w:rPr>
          <w:rFonts w:ascii="Arial" w:cs="Arial" w:eastAsia="Arial" w:hAnsi="Arial"/>
          <w:sz w:val="16"/>
          <w:szCs w:val="16"/>
          <w:color w:val="auto"/>
        </w:rPr>
        <w:t>Manufacturers and manufacturers’ facilities are required to continuously comply with FDA and comparable foreign regulatory authority requirements, including ensuring that quality control and manufacturing procedures conform to current Good Manufacturing Practices (GMP) regulations and corresponding foreign regulatory manufacturing requirements. As such, we and our contract manufacturers will be subject to continual review and inspections to assess compliance with GMP and adherence to commitments made in any BLA or marketing authorization application.</w:t>
      </w:r>
    </w:p>
    <w:p>
      <w:pPr>
        <w:spacing w:after="0" w:line="157" w:lineRule="exact"/>
        <w:rPr>
          <w:sz w:val="20"/>
          <w:szCs w:val="20"/>
          <w:color w:val="auto"/>
        </w:rPr>
      </w:pPr>
    </w:p>
    <w:p>
      <w:pPr>
        <w:ind w:right="100" w:firstLine="510"/>
        <w:spacing w:after="0" w:line="291" w:lineRule="auto"/>
        <w:rPr>
          <w:sz w:val="20"/>
          <w:szCs w:val="20"/>
          <w:color w:val="auto"/>
        </w:rPr>
      </w:pPr>
      <w:r>
        <w:rPr>
          <w:rFonts w:ascii="Arial" w:cs="Arial" w:eastAsia="Arial" w:hAnsi="Arial"/>
          <w:sz w:val="16"/>
          <w:szCs w:val="16"/>
          <w:color w:val="auto"/>
        </w:rPr>
        <w:t>Any regulatory approvals that we receive for our product candidates may be subject to limitations on the approved indicated uses for which the product candidate may be marketed or to the conditions of approval, or contain requirements for potentially costly post-marketing testing, including Phase</w:t>
      </w:r>
    </w:p>
    <w:p>
      <w:pPr>
        <w:spacing w:after="0" w:line="252" w:lineRule="auto"/>
        <w:rPr>
          <w:sz w:val="20"/>
          <w:szCs w:val="20"/>
          <w:color w:val="auto"/>
        </w:rPr>
      </w:pPr>
      <w:r>
        <w:rPr>
          <w:rFonts w:ascii="Arial" w:cs="Arial" w:eastAsia="Arial" w:hAnsi="Arial"/>
          <w:sz w:val="18"/>
          <w:szCs w:val="18"/>
          <w:color w:val="auto"/>
        </w:rPr>
        <w:t>4 clinical trials, and surveillance to monitor the safety and efficacy of the product candidate. We will be required to report adverse reactions and production problems, if any, to the FDA and comparable foreign regulatory authorities. Any new legislation addressing drug safety issues could result in delays in product development or commercialization, or increased costs to assure compliance. If our original marketing approval for a product candidate was obtained through an accelerated approval pathway, we could be required to conduct a successful post-marketing clinical trial in order to confirm the clinical benefit for our products. An unsuccessful post-marketing clinical trial or failure to complete such a trial could result in the withdrawal of marketing approval.</w:t>
      </w:r>
    </w:p>
    <w:p>
      <w:pPr>
        <w:spacing w:after="0" w:line="194" w:lineRule="exact"/>
        <w:rPr>
          <w:sz w:val="20"/>
          <w:szCs w:val="20"/>
          <w:color w:val="auto"/>
        </w:rPr>
      </w:pPr>
    </w:p>
    <w:p>
      <w:pPr>
        <w:ind w:right="240" w:firstLine="510"/>
        <w:spacing w:after="0" w:line="279" w:lineRule="auto"/>
        <w:rPr>
          <w:sz w:val="20"/>
          <w:szCs w:val="20"/>
          <w:color w:val="auto"/>
        </w:rPr>
      </w:pPr>
      <w:r>
        <w:rPr>
          <w:rFonts w:ascii="Arial" w:cs="Arial" w:eastAsia="Arial" w:hAnsi="Arial"/>
          <w:sz w:val="17"/>
          <w:szCs w:val="17"/>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the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63" w:lineRule="exact"/>
        <w:rPr>
          <w:sz w:val="20"/>
          <w:szCs w:val="20"/>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issue warning letters;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suspend or withdraw regulatory approval or revoke a license;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suspend any of our ongoing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submitted by us;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contract manufacturers’ facilities; or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 a product recall.</w:t>
      </w:r>
    </w:p>
    <w:p>
      <w:pPr>
        <w:spacing w:after="0" w:line="225" w:lineRule="exact"/>
        <w:rPr>
          <w:sz w:val="20"/>
          <w:szCs w:val="20"/>
          <w:color w:val="auto"/>
        </w:rPr>
      </w:pPr>
    </w:p>
    <w:p>
      <w:pPr>
        <w:jc w:val="both"/>
        <w:ind w:right="40" w:firstLine="510"/>
        <w:spacing w:after="0" w:line="263" w:lineRule="auto"/>
        <w:rPr>
          <w:sz w:val="20"/>
          <w:szCs w:val="20"/>
          <w:color w:val="auto"/>
        </w:rPr>
      </w:pPr>
      <w:r>
        <w:rPr>
          <w:rFonts w:ascii="Arial" w:cs="Arial" w:eastAsia="Arial" w:hAnsi="Arial"/>
          <w:sz w:val="18"/>
          <w:szCs w:val="18"/>
          <w:color w:val="auto"/>
        </w:rPr>
        <w:t>Any government investigation of alleged violations of law would be expected to require us to expend significant time and resources in response and could generate adverse publicity. Any failure to comply with ongoing regulatory requirements may significantly and adversely affect our ability to develop and commercialize our products and our value and operating results would be adversely affected.</w:t>
      </w:r>
    </w:p>
    <w:p>
      <w:pPr>
        <w:spacing w:after="0" w:line="292" w:lineRule="exact"/>
        <w:rPr>
          <w:sz w:val="20"/>
          <w:szCs w:val="20"/>
          <w:color w:val="auto"/>
        </w:rPr>
      </w:pPr>
    </w:p>
    <w:p>
      <w:pPr>
        <w:ind w:right="300"/>
        <w:spacing w:after="0" w:line="340" w:lineRule="auto"/>
        <w:rPr>
          <w:sz w:val="20"/>
          <w:szCs w:val="20"/>
          <w:color w:val="auto"/>
        </w:rPr>
      </w:pPr>
      <w:r>
        <w:rPr>
          <w:rFonts w:ascii="Arial" w:cs="Arial" w:eastAsia="Arial" w:hAnsi="Arial"/>
          <w:sz w:val="15"/>
          <w:szCs w:val="15"/>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3"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57" w:lineRule="exact"/>
        <w:rPr>
          <w:sz w:val="20"/>
          <w:szCs w:val="20"/>
          <w:color w:val="auto"/>
        </w:rPr>
      </w:pPr>
    </w:p>
    <w:p>
      <w:pPr>
        <w:ind w:right="380" w:firstLine="510"/>
        <w:spacing w:after="0" w:line="263"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37" w:name="page38"/>
    <w:bookmarkEnd w:id="37"/>
    <w:p>
      <w:pPr>
        <w:ind w:right="140"/>
        <w:spacing w:after="0" w:line="259" w:lineRule="auto"/>
        <w:rPr>
          <w:sz w:val="20"/>
          <w:szCs w:val="20"/>
          <w:color w:val="auto"/>
        </w:rPr>
      </w:pPr>
      <w:r>
        <w:rPr>
          <w:rFonts w:ascii="Arial" w:cs="Arial" w:eastAsia="Arial" w:hAnsi="Arial"/>
          <w:sz w:val="18"/>
          <w:szCs w:val="18"/>
          <w:color w:val="auto"/>
        </w:rPr>
        <w:t>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upon completion of this offering and in our operations as a public company, future government shutdowns could impact our ability to access the public markets and obtain necessary capital in order to properly capitalize and continue our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our financial condition or results of operations.</w:t>
      </w:r>
    </w:p>
    <w:p>
      <w:pPr>
        <w:spacing w:after="0" w:line="117"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In the United States, there have been and continue to be a number of legislative initiatives to contain healthcare costs. For example, in March 2010, the ACA, was passed, which was intended to substantially change the way health care is financed by both governmental health programs and private insurers, and significantly impact the U.S. pharmaceutical industry. The ACA, among other things, introduced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specified branded prescription drugs, and promotes a new Medicare Part D coverage gap discount program.</w:t>
      </w:r>
    </w:p>
    <w:p>
      <w:pPr>
        <w:spacing w:after="0" w:line="195"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The ACA has been under scrutiny by the U.S. Congress almost since its passage, and certain sections of the ACA have not been fully implemented or effectively repealed. As a result, its longevity continues to be uncertain. In addition, ongoing initiatives in the U.S. have increased and will continue to increase pressure on drug pricing. The announcement or adoption of any such initiative could have an adverse effect on potential revenues from any product candidate that we may successfully develop.</w:t>
      </w:r>
    </w:p>
    <w:p>
      <w:pPr>
        <w:spacing w:after="0" w:line="187"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It is anticipated that the ACA, as well as other healthcare reform measures that may be adopted in the future, may result in more rigorous coverage criteria and an additional downward pressure on the reimbursement our customers may receive for our products. Further, there have been judicial and Congressional challenges to certain aspects of the ACA, and it is expected there will be additional challenges and amendments to the ACA in the future, especially with the recent change in administration.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286"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38"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If we obtain FDA approval for any of our product candidates and begin commercializing those products in the United States, our operations may be subject to various federal and state fraud and abuse laws, including, without limitation, the federal Anti-Kickback Statute, the federal False Claims Act, and physician sunshine laws and regulations. These laws may impact,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80" w:lineRule="exact"/>
        <w:rPr>
          <w:sz w:val="20"/>
          <w:szCs w:val="20"/>
          <w:color w:val="auto"/>
        </w:rPr>
      </w:pPr>
    </w:p>
    <w:p>
      <w:pPr>
        <w:jc w:val="both"/>
        <w:ind w:left="1000" w:right="120" w:hanging="493"/>
        <w:spacing w:after="0" w:line="263"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75" w:lineRule="exact"/>
        <w:rPr>
          <w:rFonts w:ascii="Arial" w:cs="Arial" w:eastAsia="Arial" w:hAnsi="Arial"/>
          <w:sz w:val="18"/>
          <w:szCs w:val="18"/>
          <w:color w:val="auto"/>
        </w:rPr>
      </w:pPr>
    </w:p>
    <w:p>
      <w:pPr>
        <w:jc w:val="both"/>
        <w:ind w:left="1000" w:right="120" w:hanging="493"/>
        <w:spacing w:after="0" w:line="263"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75" w:lineRule="exact"/>
        <w:rPr>
          <w:rFonts w:ascii="Arial" w:cs="Arial" w:eastAsia="Arial" w:hAnsi="Arial"/>
          <w:sz w:val="18"/>
          <w:szCs w:val="18"/>
          <w:color w:val="auto"/>
        </w:rPr>
      </w:pPr>
    </w:p>
    <w:p>
      <w:pPr>
        <w:ind w:left="1000" w:right="220" w:hanging="493"/>
        <w:spacing w:after="0" w:line="308" w:lineRule="auto"/>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(HIPAA), which created new federal criminal statutes that prohibit executing a scheme to defraud any healthcare benefit program and making false statements relating to healthcare matters;</w:t>
      </w:r>
    </w:p>
    <w:p>
      <w:pPr>
        <w:spacing w:after="0" w:line="38" w:lineRule="exact"/>
        <w:rPr>
          <w:rFonts w:ascii="Arial" w:cs="Arial" w:eastAsia="Arial" w:hAnsi="Arial"/>
          <w:sz w:val="17"/>
          <w:szCs w:val="17"/>
          <w:color w:val="auto"/>
        </w:rPr>
      </w:pPr>
    </w:p>
    <w:p>
      <w:pPr>
        <w:ind w:left="1000" w:right="560" w:hanging="493"/>
        <w:spacing w:after="0" w:line="308" w:lineRule="auto"/>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and Clinical Health Act, and its implementing regulations, which imposes specified requirements relating to the privacy, security, and transmission of individually identifiable health information;</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8" w:name="page39"/>
    <w:bookmarkEnd w:id="38"/>
    <w:p>
      <w:pPr>
        <w:ind w:left="1000" w:hanging="493"/>
        <w:spacing w:after="0" w:line="279" w:lineRule="auto"/>
        <w:tabs>
          <w:tab w:leader="none" w:pos="10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federal physician sunshine requirements under the ACA require manufacturers of drugs, devices, biologics, and medical supplies to report annually to the U.S. Department of Health and Human Services information related to payments and other transfers of value to physicians, other healthcare providers, and teaching hospitals, and ownership and investment interests held by physicians and other healthcare providers and their immediate family members and applicable group purchasing organizations; and</w:t>
      </w:r>
    </w:p>
    <w:p>
      <w:pPr>
        <w:spacing w:after="0" w:line="63" w:lineRule="exact"/>
        <w:rPr>
          <w:rFonts w:ascii="Arial" w:cs="Arial" w:eastAsia="Arial" w:hAnsi="Arial"/>
          <w:sz w:val="17"/>
          <w:szCs w:val="17"/>
          <w:color w:val="auto"/>
        </w:rPr>
      </w:pPr>
    </w:p>
    <w:p>
      <w:pPr>
        <w:ind w:left="1000" w:right="20" w:hanging="493"/>
        <w:spacing w:after="0" w:line="272" w:lineRule="auto"/>
        <w:tabs>
          <w:tab w:leader="none" w:pos="10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state law equivalents of each of the above federal laws, such as anti-kickback and false claims laws that may apply to items or services reimbursed by any third-party payor, including governmental and private payors, to comply with the pharmaceutical industry’s voluntary compliance guidelines and the relevant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specified circumstances, many of which differ from each other in significant ways and may not have the same effect, thus complicating compliance efforts.</w:t>
      </w:r>
    </w:p>
    <w:p>
      <w:pPr>
        <w:spacing w:after="0" w:line="177" w:lineRule="exact"/>
        <w:rPr>
          <w:sz w:val="20"/>
          <w:szCs w:val="20"/>
          <w:color w:val="auto"/>
        </w:rPr>
      </w:pPr>
    </w:p>
    <w:p>
      <w:pPr>
        <w:ind w:right="160" w:firstLine="510"/>
        <w:spacing w:after="0" w:line="255" w:lineRule="auto"/>
        <w:rPr>
          <w:sz w:val="20"/>
          <w:szCs w:val="20"/>
          <w:color w:val="auto"/>
        </w:rPr>
      </w:pPr>
      <w:r>
        <w:rPr>
          <w:rFonts w:ascii="Arial" w:cs="Arial" w:eastAsia="Arial" w:hAnsi="Arial"/>
          <w:sz w:val="18"/>
          <w:szCs w:val="18"/>
          <w:color w:val="auto"/>
        </w:rPr>
        <w:t>Because of the breadth of these laws and the narrowness of the statutory exceptions and safe harbors available, it is possible that some of our business activities could be subject to challenge under one or more of such laws. In addition, recent health care reform legislation has strengthened these laws. For example, the ACA, among other things, amends the intent requirement of the federal anti-kickback and criminal healthcare fraud statutes. A person or entity no longer needs to have actual knowledge of this statute or specific intent to violate it. Moreover, the ACA provides that the government may assert that a claim including items or services resulting from a violation of the federal anti-kickback statute constitutes a false or fraudulent claim for purposes of the False Claims Act.</w:t>
      </w:r>
    </w:p>
    <w:p>
      <w:pPr>
        <w:spacing w:after="0" w:line="192"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If our operations are found to be in violation of any of the laws described above or any other governmental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ability to operate our business and our results of operations.</w:t>
      </w:r>
    </w:p>
    <w:p>
      <w:pPr>
        <w:spacing w:after="0" w:line="29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We may be subject to, or may in the future become subject to, U.S. federal and state, and foreign laws and regulations imposing obligations on how we collect, use, disclose, store and process personal information. Our actual or perceived failure to comply with such obligations could result in liability or reputational harm and could harm our business. Ensuring compliance with such laws could also impair our efforts to maintain and expand our customer base, and thereby decrease our revenue.</w:t>
      </w:r>
    </w:p>
    <w:p>
      <w:pPr>
        <w:spacing w:after="0" w:line="79" w:lineRule="exact"/>
        <w:rPr>
          <w:sz w:val="20"/>
          <w:szCs w:val="20"/>
          <w:color w:val="auto"/>
        </w:rPr>
      </w:pPr>
    </w:p>
    <w:p>
      <w:pPr>
        <w:ind w:right="40" w:firstLine="510"/>
        <w:spacing w:after="0" w:line="268" w:lineRule="auto"/>
        <w:rPr>
          <w:sz w:val="20"/>
          <w:szCs w:val="20"/>
          <w:color w:val="auto"/>
        </w:rPr>
      </w:pPr>
      <w:r>
        <w:rPr>
          <w:rFonts w:ascii="Arial" w:cs="Arial" w:eastAsia="Arial" w:hAnsi="Arial"/>
          <w:sz w:val="17"/>
          <w:szCs w:val="17"/>
          <w:color w:val="auto"/>
        </w:rPr>
        <w:t>In many activities, including the conduct of clinical trials, we are subject to laws and regulations governing data privacy and the protection of health-related and other personal information. These laws and regulations govern our processing of personal data, including the collection, access, use, analysis, modification, storage, transfer, security breach notification, destruction and disposal of personal data. We must comply with laws and regulations associated with the international transfer of personal data based on the location in which the personal data originates and the location in which it is processed. Although there are legal mechanisms to facilitate the transfer of personal data from the European Economic Area (EEA), and Switzerland to the United States, the decision of the European Court of Justice that invalidated the safe harbor framework has increased uncertainty around compliance with EU privacy law requirements. As a result of the decision, it was no longer possible to rely on safe harbor certification as a legal basis for the transfer of personal data from the European Union to entities in the United States. In February 2016, the European Commission announced an agreement with the Department of Commerce, or DOC, to replace the invalidated safe harbor framework with a new EU-U.S. “Privacy Shield.” On July 12, 2016, the European Commission adopted a decision on the adequacy of the protection provided by the Privacy Shield. The Privacy Shield is intended to address the requirements set out by the European Court of Justice in its recent ruling by imposing more stringent obligations on companies, providing stronger monitoring and enforcement by the DOC and Federal Trade Commission and making commitments on the part of public authorities regarding access to information.</w:t>
      </w:r>
    </w:p>
    <w:p>
      <w:pPr>
        <w:spacing w:after="0" w:line="186" w:lineRule="exact"/>
        <w:rPr>
          <w:sz w:val="20"/>
          <w:szCs w:val="20"/>
          <w:color w:val="auto"/>
        </w:rPr>
      </w:pPr>
    </w:p>
    <w:p>
      <w:pPr>
        <w:ind w:right="320" w:firstLine="510"/>
        <w:spacing w:after="0" w:line="279" w:lineRule="auto"/>
        <w:rPr>
          <w:sz w:val="20"/>
          <w:szCs w:val="20"/>
          <w:color w:val="auto"/>
        </w:rPr>
      </w:pPr>
      <w:r>
        <w:rPr>
          <w:rFonts w:ascii="Arial" w:cs="Arial" w:eastAsia="Arial" w:hAnsi="Arial"/>
          <w:sz w:val="17"/>
          <w:szCs w:val="17"/>
          <w:color w:val="auto"/>
        </w:rPr>
        <w:t>The privacy and security of personally identifiable information stored, maintained, received or transmitted, including electronically, is subject to significant regulation in the United States and abroad. While we strive to comply with all applicable privacy and security laws and regulations, legal standards for privacy continue to evolve and any failure or perceived failure to comply may result in proceedings or actions against us by government entities or others, or could cause reputational harm, which could have a material adverse effect on our business.</w:t>
      </w:r>
    </w:p>
    <w:p>
      <w:pPr>
        <w:spacing w:after="0" w:line="171" w:lineRule="exact"/>
        <w:rPr>
          <w:sz w:val="20"/>
          <w:szCs w:val="20"/>
          <w:color w:val="auto"/>
        </w:rPr>
      </w:pPr>
    </w:p>
    <w:p>
      <w:pPr>
        <w:jc w:val="both"/>
        <w:ind w:right="60" w:firstLine="510"/>
        <w:spacing w:after="0" w:line="259" w:lineRule="auto"/>
        <w:rPr>
          <w:sz w:val="20"/>
          <w:szCs w:val="20"/>
          <w:color w:val="auto"/>
        </w:rPr>
      </w:pPr>
      <w:r>
        <w:rPr>
          <w:rFonts w:ascii="Arial" w:cs="Arial" w:eastAsia="Arial" w:hAnsi="Arial"/>
          <w:sz w:val="18"/>
          <w:szCs w:val="18"/>
          <w:color w:val="auto"/>
        </w:rPr>
        <w:t>Numerous foreign, federal and state laws and regulations govern collection, dissemination, use and confidentiality of personally identifiable health information, including state privacy and confidentiality laws (including state laws requiring disclosure of breaches); federal and state consumer protection and employment laws; HIPAA; and European and other foreign data protection laws. These laws and regulations are increasing in complexity and number, may change frequently and sometimes conflict.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39" w:name="page40"/>
    <w:bookmarkEnd w:id="39"/>
    <w:p>
      <w:pPr>
        <w:ind w:right="20" w:firstLine="510"/>
        <w:spacing w:after="0" w:line="271" w:lineRule="auto"/>
        <w:rPr>
          <w:sz w:val="20"/>
          <w:szCs w:val="20"/>
          <w:color w:val="auto"/>
        </w:rPr>
      </w:pPr>
      <w:r>
        <w:rPr>
          <w:rFonts w:ascii="Arial" w:cs="Arial" w:eastAsia="Arial" w:hAnsi="Arial"/>
          <w:sz w:val="17"/>
          <w:szCs w:val="17"/>
          <w:color w:val="auto"/>
        </w:rPr>
        <w:t>HIPAA establishes a set of national privacy and security standards for the protection of individually identifiable health information, including protected health information, or PHI, by health plans, certain healthcare clearinghouses and healthcare providers that submit certain covered transactions electronically, or covered entities, and their ‘‘business associates,’’ which are persons or entities that perform certain services for, or on behalf of, a covered entity that involve creating, receiving, maintaining or transmitting PHI. While we are not currently a covered entity or business associate under HIPAA, we may receive identifiable information from these entities. Failure to receive this information properly could subject us to HIPAA’s criminal penalties, which may include fines up to $250,000 per violation and/or imprisonment. In addition, responding to government investigations regarding alleged violations of these and other laws and regulations, even if ultimately concluded with no findings of violations or no penalties imposed, can consume company resources and impact our business and, if public, harm our reputation.</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addition, various states, such as California and Massachusetts, have implemented similar privacy laws and regulations, such as the California</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Confidentiality of Medical Information Act, that impose restrictive requirements regulating the use and disclosure of health information and other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personally identifiable information. In addition to fines and penalties imposed upon violators, some of these state laws also afford private rights of action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individuals who believe their personal information has been misused. California’s patient privacy laws, for example, provide for penalties of up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$250,000 and permit injured parties to sue for damages. The interplay of federal and state laws may be subject to varying interpretations by courts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government agencies, creating complex compliance issues for us and our clients and potentially exposing us to additional expense, adverse publicity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liability. Further, as regulatory focus on privacy issues continues to increase and laws and regulations concerning the protection of personal information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expand and become more complex, these potential risks to our business could intensify.</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addition, the interpretation and application of consumer, health-related, and data protection laws are often uncertain, contradictory, and in flux.</w:t>
      </w:r>
    </w:p>
    <w:p>
      <w:pPr>
        <w:spacing w:after="0" w:line="248" w:lineRule="exact"/>
        <w:rPr>
          <w:sz w:val="20"/>
          <w:szCs w:val="20"/>
          <w:color w:val="auto"/>
        </w:rPr>
      </w:pPr>
    </w:p>
    <w:p>
      <w:pPr>
        <w:jc w:val="both"/>
        <w:ind w:right="80" w:firstLine="510"/>
        <w:spacing w:after="0" w:line="263" w:lineRule="auto"/>
        <w:rPr>
          <w:sz w:val="20"/>
          <w:szCs w:val="20"/>
          <w:color w:val="auto"/>
        </w:rPr>
      </w:pPr>
      <w:r>
        <w:rPr>
          <w:rFonts w:ascii="Arial" w:cs="Arial" w:eastAsia="Arial" w:hAnsi="Arial"/>
          <w:sz w:val="18"/>
          <w:szCs w:val="18"/>
          <w:color w:val="auto"/>
        </w:rPr>
        <w:t>U.S.-based companies may certify compliance with the privacy principles of the Privacy Shield. Certification to the Privacy Shield, however, is not mandatory. If a U.S.-based company does not certify compliance with the Privacy Shield, it may rely on other authorized mechanisms to transfer personal data.</w:t>
      </w:r>
    </w:p>
    <w:p>
      <w:pPr>
        <w:spacing w:after="0" w:line="184"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The privacy and data security landscape is still in flux. In October 2016, an action for annulment of the European Commission decision on the adequacy of Privacy Shield was brought before the European Court of Justice by three French digital rights advocacy groups, La Quadrature du Net, French Data Network and the Fédération FDN. This case, Case T738/16, is currently pending before the European Court of Justice. Should the European Court of Justice invalidate the Privacy Shield, it will no longer be possible to transfer data from the European Union to entities in the United States under a Privacy Shield certification, in which case other legal mechanisms would need to be put in place.</w:t>
      </w:r>
    </w:p>
    <w:p>
      <w:pPr>
        <w:spacing w:after="0" w:line="176"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In addition, the European Parliament and the Council of the European Union adopted a comprehensive general data privacy regulation ("GDPR") in 2016 to replace the current European Union Data Protection Directive and related country-specific legislation. The GDPR took effect in May 2018 and governs the collection and use of personal data in the European Union. The GDPR, which is wide-ranging in scope, will impose several requirements relating to the consent of the individuals to whom the personal data relates, the information provided to the individuals, the security and confidentiality of the personal data, data breach notification and the use of third party processors in connection with the processing of the personal data. The GDPR also imposes strict rules on the transfer of personal data out of the European Union to the United States, enhances enforcement authority and imposes large penalties for noncompliance, including the potential for fines of up to €20 million or 4% of the annual global revenues of the infringer, whichever is greater.</w:t>
      </w:r>
    </w:p>
    <w:p>
      <w:pPr>
        <w:spacing w:after="0" w:line="192"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The legislative and regulatory landscape for privacy and data security continues to evolve, and there has been an increasing focus on privacy and data security issues which may affect our business. Failure to comply with current and future laws and regulations could result in government enforcement actions (including the imposition of significant penalties), criminal and civil liability for us and our officers and directors, private litigation and/or adverse publicity that negatively affects our business.</w:t>
      </w:r>
    </w:p>
    <w:p>
      <w:pPr>
        <w:spacing w:after="0" w:line="187"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In the United States, California recently adopted the California Consumer Privacy Act of 2018, or CCPA, which came into effect beginning in January 2020. The CCPA has been characterized as the first “GDPR-like” privacy statute to be enacted in the United States because it mirrors a number of the key provisions of the EU General Data Protection Regulation. The CCPA establishes a new privacy framework for covered businesses by creating an expanded definition of personal information, establishing new data privacy rights for consumers in the State of California, imposing special rules on the collection of consumer data from minors, and creating a new and potentially severe statutory damages framework for violations of the CCPA and for businesses that fail to implement reasonable security procedures and practices to prevent data breaches.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40" w:name="page41"/>
    <w:bookmarkEnd w:id="40"/>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our business, financial condition or results of operations.</w:t>
      </w:r>
    </w:p>
    <w:p>
      <w:pPr>
        <w:spacing w:after="0" w:line="62"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Our research and development activities and our third-party manufacturers’ and suppliers’ activities involve the controlled storage, use, and disposal of hazardous materials, including the components of our product candidates and other hazardous compounds. We and our manufacturers and suppliers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research and development efforts, commercialization efforts and business operations and environmental damage resulting in costly clean-up and liabilities under applicable laws and regulations governing the use, storage, handling, and disposal of these materials and specified waste products. Although we believe that the safety procedures utilized by us and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specified materials and/or interrupt our business operations. Furthermore, environmental laws and regulations are complex, change frequently, and have tended to become more stringent. We cannot predict the impact of such changes and cannot be certain of our future compliance. Given the nature of the research and development work conducted by us, we do not currently carry biological or hazardous waste insurance coverage.</w:t>
      </w:r>
    </w:p>
    <w:p>
      <w:pPr>
        <w:spacing w:after="0" w:line="28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Laws and regulations governing international operations may preclude us from developing, manufacturing and selling certain products outside of the United States and require us to develop, implement and maintain costly compliance programs.</w:t>
      </w:r>
    </w:p>
    <w:p>
      <w:pPr>
        <w:spacing w:after="0" w:line="62"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To develop, manufacture and sell certain products outside the United States, we must dedicate resources to comply with numerous laws and regulations in each jurisdiction in which we operate. The Foreign Corrupt Practices Act (FCPA), prohibits any United States individual or business from paying, offering, authorizing payment or offering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77" w:lineRule="exact"/>
        <w:rPr>
          <w:sz w:val="20"/>
          <w:szCs w:val="20"/>
          <w:color w:val="auto"/>
        </w:rPr>
      </w:pPr>
    </w:p>
    <w:p>
      <w:pPr>
        <w:ind w:right="60" w:firstLine="510"/>
        <w:spacing w:after="0" w:line="301" w:lineRule="auto"/>
        <w:rPr>
          <w:sz w:val="20"/>
          <w:szCs w:val="20"/>
          <w:color w:val="auto"/>
        </w:rPr>
      </w:pPr>
      <w:r>
        <w:rPr>
          <w:rFonts w:ascii="Arial" w:cs="Arial" w:eastAsia="Arial" w:hAnsi="Arial"/>
          <w:sz w:val="16"/>
          <w:szCs w:val="16"/>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may be considered government employees or foreign officials. In other circumstances, certain payments to hospitals in connection with clinical trials and other work have been deemed to be improper payments to government officials and have led to FCPA enforcement actions.</w:t>
      </w:r>
    </w:p>
    <w:p>
      <w:pPr>
        <w:spacing w:after="0" w:line="157"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non-United States nationals, of information classified for national security purposes, as well as certain products and technical data relating to those products. These laws may preclude us from developing, manufacturing, or selling certain products and product candidates outside of the U.S., which could limit our growth potential and increase our development costs.</w:t>
      </w:r>
    </w:p>
    <w:p>
      <w:pPr>
        <w:spacing w:after="0" w:line="187" w:lineRule="exact"/>
        <w:rPr>
          <w:sz w:val="20"/>
          <w:szCs w:val="20"/>
          <w:color w:val="auto"/>
        </w:rPr>
      </w:pPr>
    </w:p>
    <w:p>
      <w:pPr>
        <w:jc w:val="both"/>
        <w:ind w:right="140" w:firstLine="510"/>
        <w:spacing w:after="0" w:line="263"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 and export control laws.</w:t>
      </w:r>
    </w:p>
    <w:p>
      <w:pPr>
        <w:spacing w:after="0" w:line="29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62"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Our internal computer systems and those of our current and any future collaborators and other contractors or consultants are vulnerable to damage from computer viruses, unauthorized access, natural disasters, terrorism, war and telecommunication and electrical failures. If such an event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preclinical or clinical trial data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1" w:name="page42"/>
    <w:bookmarkEnd w:id="41"/>
    <w:p>
      <w:pPr>
        <w:ind w:right="420"/>
        <w:spacing w:after="0" w:line="277" w:lineRule="auto"/>
        <w:rPr>
          <w:sz w:val="20"/>
          <w:szCs w:val="20"/>
          <w:color w:val="auto"/>
        </w:rPr>
      </w:pPr>
      <w:r>
        <w:rPr>
          <w:rFonts w:ascii="Arial" w:cs="Arial" w:eastAsia="Arial" w:hAnsi="Arial"/>
          <w:sz w:val="18"/>
          <w:szCs w:val="18"/>
          <w:b w:val="1"/>
          <w:bCs w:val="1"/>
          <w:i w:val="1"/>
          <w:iCs w:val="1"/>
          <w:color w:val="auto"/>
        </w:rPr>
        <w:t>Ethical, legal and social concerns about synthetic biology and genetic engineering could limit or prevent the use of our technologies and limit our revenues.</w:t>
      </w:r>
    </w:p>
    <w:p>
      <w:pPr>
        <w:spacing w:after="0" w:line="62"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Our technologies involve the use of synthetic biology and genetic engineering. Public perception about the safety and environmental hazards of, and ethical concerns over, synthetic biology and genetic engineering could influence public acceptance of our technologies, product candidates and processes. If we and our collaborators are not able to overcome the ethical, legal and social concerns relating to synthetic biology and genetic engineering, our technologies, product candidates and processes may not be accepted. These concerns could result in increased expenses, regulatory scrutiny and increased regulation, trade restrictions on imports of Synthetic Biotic medicines, delays or other impediments to our programs or the public acceptance and commercialization of Synthetic Biotic medicines. Further, there is a risk that Synthetic Biotic medicines made using our technologies could result in adverse health effects or other adverse events, which could also lead to negative publicity. We design and produce product candidates with characteristics comparable or disadvantaged to those found in naturally occurring organisms or enzymes in a controlled laboratory; however, the release of such organisms into uncontrolled environments could have unintended consequences. Any adverse effect resulting from such a release could have a material adverse effect on our business, financial condition or results of operations and we may have exposure to liability for any resulting harm.</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Synthetic Biotic medicines, product candidates and processes for our development pipeline through acquisitions and in-licenses.</w:t>
      </w:r>
    </w:p>
    <w:p>
      <w:pPr>
        <w:spacing w:after="0" w:line="62"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Presently, we have rights to certain intellectual property, through licenses from third parties and under patents and patent applications owned by us. The growth of our business will likely depend in part on our ability to obtain, maintain or enforce our and our licensors’ intellectual property rights and to acquire or in-license additional proprietary rights. For example, our programs may involve additional product candidates or delivery systems that may require the use of additional proprietary rights held by third parties. Our ultimate product candidates may also require specific formulations to work effectively and efficiently. These formulations may be covered by intellectual property rights held by others. We may be unable to acquire or in-license any relevant third-party intellectual property rights that we identify as necessary or important to our business operations.</w:t>
      </w:r>
    </w:p>
    <w:p>
      <w:pPr>
        <w:spacing w:after="0" w:line="178"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In addition, our product candidates may require specific formulations to work effectively and efficiently and these rights may be held by other third parties. We may be unable to develop, acquire or in-license compositions, methods of use, processes or other third-party intellectual property rights from third parties that we identify. The licensing and acquisition of third-party intellectual property rights is a competitive area, and a number of other companies may also be pursuing strategies to license or acquire third-party intellectual property rights that we may consider attractive. These companies could have a competitive advantage over us due to their size, cash resources and greater clinical development and commercialization capabilities.</w:t>
      </w:r>
    </w:p>
    <w:p>
      <w:pPr>
        <w:spacing w:after="0" w:line="161"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For example, we have previously and may continue to collaborate with academic institutions to accelerate our preclinical research or development under written agreements with these institutions. Typically, these institutions provide an option to negotiate a license to any of the institution’s rights in technology resulting from the collaboration. Regardless of such right of first negotiation for intellectual property, we may be unable to negotiate a license within the specified time frame or under terms that are acceptable to it. If we are unable to do so, the institution may offer the intellectual property rights to other parties, potentially blocking our ability to pursue our program.</w:t>
      </w:r>
    </w:p>
    <w:p>
      <w:pPr>
        <w:spacing w:after="0" w:line="188" w:lineRule="exact"/>
        <w:rPr>
          <w:sz w:val="20"/>
          <w:szCs w:val="20"/>
          <w:color w:val="auto"/>
        </w:rPr>
      </w:pPr>
    </w:p>
    <w:p>
      <w:pPr>
        <w:ind w:right="280" w:firstLine="510"/>
        <w:spacing w:after="0" w:line="311" w:lineRule="auto"/>
        <w:rPr>
          <w:sz w:val="20"/>
          <w:szCs w:val="20"/>
          <w:color w:val="auto"/>
        </w:rPr>
      </w:pPr>
      <w:r>
        <w:rPr>
          <w:rFonts w:ascii="Arial" w:cs="Arial" w:eastAsia="Arial" w:hAnsi="Arial"/>
          <w:sz w:val="16"/>
          <w:szCs w:val="16"/>
          <w:color w:val="auto"/>
        </w:rPr>
        <w:t>In addition, companies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rights to third-party intellectual property rights, our business, financial condition and prospects for growth could suffer.</w:t>
      </w:r>
    </w:p>
    <w:p>
      <w:pPr>
        <w:spacing w:after="0" w:line="25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We intend to rely on patent rights and the status of our product candidates, if approved, as biologics eligible for exclusivity under the Biologics Price Competition and Innovation Act (BPCIA). If Synlogic is unable to obtain or maintain exclusivity from the combination of these approaches, Synlogic may not be able to compete effectively in our markets.</w:t>
      </w:r>
    </w:p>
    <w:p>
      <w:pPr>
        <w:spacing w:after="0" w:line="76"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We rely or will rely upon a combination of patents, trade secret protection, and confidentiality agreements to protect the intellectual property related to our technologies and product candidates. Our success depends in large part on our and our licensors’ ability to obtain regulatory exclusivity and maintain patent and other intellectual property protection in the United States and in other countries with respect to our proprietary technology and products.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42" w:name="page43"/>
    <w:bookmarkEnd w:id="42"/>
    <w:p>
      <w:pPr>
        <w:ind w:firstLine="510"/>
        <w:spacing w:after="0" w:line="259" w:lineRule="auto"/>
        <w:rPr>
          <w:sz w:val="20"/>
          <w:szCs w:val="20"/>
          <w:color w:val="auto"/>
        </w:rPr>
      </w:pPr>
      <w:r>
        <w:rPr>
          <w:rFonts w:ascii="Arial" w:cs="Arial" w:eastAsia="Arial" w:hAnsi="Arial"/>
          <w:sz w:val="18"/>
          <w:szCs w:val="18"/>
          <w:color w:val="auto"/>
        </w:rPr>
        <w:t>We have sought to protect our proprietary position by filing patent applications in the United States and abroad related to our product candidates that are important to our business. This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187"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The patent position of biotechnology and pharmaceutical companies generally is highly uncertain and involves complex legal and factual questions for which legal principles remain unsolved. The patent applications that we own or in-license may fail to result in issued patents with claims that cover our product candidates in the United States or in other foreign countries. There is no assurance that all potentially relevant prior art relating to our patents and patent applications has been found, which can invalidate a patent or prevent a patent from issuing from a pending patent application. Even if patents do successfully issue, and even if such patents cover our product candidates, third parties may challenge their validity, enforceability, or scope, which may result in such patents being narrowed, found unenforceable or invalidated. Furthermore, even if they are unchallenged, our patents and patent applications may not adequately protect our intellectual property, provide exclusivity for our product candidates, or prevent others from designing around our claims. Any of these outcomes could impair our ability to prevent competition from third parties, which may have an adverse impact on our business.</w:t>
      </w:r>
    </w:p>
    <w:p>
      <w:pPr>
        <w:spacing w:after="0" w:line="165"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We, independently or together with our licensors, have filed several patent applications covering various aspects of our product candidates. We cannot offer any assurances about which, if any, patents will issue, the breadth of any such patent or whether any issued patents will be found invalid and unenforceable or will be threatened by third parties. Any successful opposition to these patents or any other patents owned by or licensed to us after patent issuance could deprive us of rights necessary for the successful commercialization of any product candidates that we may develop. Further, if we encounter delays in regulatory approvals, the period of time during which we could market a product candidate under patent protection could be reduced.</w:t>
      </w:r>
    </w:p>
    <w:p>
      <w:pPr>
        <w:spacing w:after="0" w:line="161"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Even if we cannot obtain and maintain effective protection of exclusivity from our regulatory efforts and intellectual property rights, including patent protection, data exclusivity or orphan drug exclusivity, for our product candidates, we believe that our product candidates will be protected by exclusivity that prevents approval of a biosimilar in the United States for a period of twelve years from the time the product to which it claims similarity was first approved. However, The Biologics Price Competition and Innovation Act of 2009, Title VII, Subtitle A of the Patent Protection and Affordable Care Act, Pub.L.No.111-148, 124 Stat.119, Sections 7001-02 signed into law March 23, 2010, and codified in 42 U.S.C. §262 (the BPCIA), created an elaborate and complex patent dispute resolution mechanism for biosimilars that could prevent us from launching our product candidates in the United States or could substantially delay such launches. Current biosimilars litigation are addressing certain requirements of the BPCIA which is creating uncertainty over how certain terms of the BPCIA should be construed and this, presents uncertainty for both the biologics innovator and biosimilar party. The BPCIA mechanism required for biosimilar applicants may pose greater risk that patent infringement litigation will disrupt our activities and add increased expenses as well as divert management’s attention. If a biosimilar version of one of our product candidates were approved in the United States, it could have a negative effect on our business.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sufficient patent term protections for our product candidates to effectively protect our business.</w:t>
      </w:r>
    </w:p>
    <w:p>
      <w:pPr>
        <w:spacing w:after="0" w:line="117"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Patents have a limited term. In the United States, the statutory expiration of a patent is generally 20 years after it is filed. Although various extensions may be available, the life of a patent, and the protection it affords, is limited. Even if patents covering our product candidates are obtained, once the patent life has expired for a product candidate, we may be open to competition. In addition, upon issuance in the United States any patent term can be adjusted based on specified delays caused by the applicant(s) or the USPTO.</w:t>
      </w:r>
    </w:p>
    <w:p>
      <w:pPr>
        <w:spacing w:after="0" w:line="187" w:lineRule="exact"/>
        <w:rPr>
          <w:sz w:val="20"/>
          <w:szCs w:val="20"/>
          <w:color w:val="auto"/>
        </w:rPr>
      </w:pPr>
    </w:p>
    <w:p>
      <w:pPr>
        <w:ind w:right="200" w:firstLine="510"/>
        <w:spacing w:after="0" w:line="255" w:lineRule="auto"/>
        <w:rPr>
          <w:sz w:val="20"/>
          <w:szCs w:val="20"/>
          <w:color w:val="auto"/>
        </w:rPr>
      </w:pPr>
      <w:r>
        <w:rPr>
          <w:rFonts w:ascii="Arial" w:cs="Arial" w:eastAsia="Arial" w:hAnsi="Arial"/>
          <w:sz w:val="18"/>
          <w:szCs w:val="18"/>
          <w:color w:val="auto"/>
        </w:rPr>
        <w:t>Patent term extensions under the Hatch-Waxman Act in the United States and under supplementary protection certificates in Europe may be available to extend the patent or data exclusivity terms of our product candidates. We will likely seek patent term extensions, and we cannot provide any assurances that any such patent term extensions will be obtained and, if so, for how long. As a result, we may not be able to maintain exclusivity for our product candidates for an extended period after regulatory approval, if any, which would negatively impact our business, financial condition, results of operations and prospects. If we do not have sufficient patent terms or regulatory exclusivity to protect our product candidates, our business and results of operations will be adversely affected.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3" w:name="page44"/>
    <w:bookmarkEnd w:id="43"/>
    <w:p>
      <w:pPr>
        <w:ind w:right="60"/>
        <w:spacing w:after="0" w:line="263" w:lineRule="auto"/>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 and recent patent reform legislation could increase the uncertainties and costs surrounding the prosecution of our patent applications and the enforcement or defense of our issued patents.</w:t>
      </w:r>
    </w:p>
    <w:p>
      <w:pPr>
        <w:spacing w:after="0" w:line="76"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As is the case with other biotechnology companies, our success is heavily dependent on patents. Obtaining and enforcing patents in the biotechnology industry involves both technological and legal complexity, and is therefore costly, time-consuming and inherently uncertain. In addition, the United States has recently enacted and is currently implementing wide-ranging patent reform legislation. Recent U.S. Supreme Court rulings have narrowed the scope of patent protection available in specified circumstances and weakened the rights of patent owners in specified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30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are unable to maintain effective proprietary rights for our product candidates or any future product candidates, we may not be able to compete effectively in our proposed markets.</w:t>
      </w:r>
    </w:p>
    <w:p>
      <w:pPr>
        <w:spacing w:after="0" w:line="62"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In addition to the protection afforded by patents, we rely on trade secret protection and confidentiality agreements to protect proprietary know-how that is not patentable or that we elect not to patent. We also utilize processes for which patents are difficult to enforce. In addition, other elements of our products, and many elements of our product candidate discovery and development processes involve proprietary know-how, information or technology that is not covered by patents. Trade secrets may be difficult to protect. We seek to protect our proprietary technology and processes, in part, by entering into confidentiality agreements with our employees, consultants, collaborators, advisors, independent contractors or other third parties. We also seek to preserve the integrity and confidentiality of our data and trade secrets, including by maintaining physical and electronic security of our premises and our information technology systems. While we have confidence in these individuals, organizations and systems, agreements or security measures may be breached, and we may not have adequate remedies for any breach. In addition, competitors may otherwise gain access to our trade secrets or independently develop substantially equivalent information and techniques.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or misappropriation of our intellectual property by third parties, we may not be able to establish or maintain a competitive advantage in our market, which could materially adversely affect our business, operating results, and financial condition.</w:t>
      </w:r>
    </w:p>
    <w:p>
      <w:pPr>
        <w:spacing w:after="0" w:line="174"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Although we expect all of our employees and consultants to assign their inventions to us, and all of our employees, consultants, collaborators, advisors, independent contractors and any third parties who have access to our proprietary know-how, information, or technology to enter into confidentiality agreements, we cannot provide any assurances that all such agreements have been duly executed or that our trade secrets and other confidential proprietary information will not be disclosed or that competitors will not otherwise gain access to our trade secrets or independently develop substantially equivalent information and techniques. Misappropriation or unauthorized disclosure of our trade secrets could impair our competitive position and may have a material adverse effect on our business, financial condition or results of operations. Additionally, if the steps taken to maintain our trade secrets are deemed inadequate, we may have insufficient recourse against third parties for misappropriating the trade secret.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claims of intellectual property infringement may prevent or delay our development and commercialization efforts.</w:t>
      </w:r>
    </w:p>
    <w:p>
      <w:pPr>
        <w:spacing w:after="0" w:line="117"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Our commercial success depends in part on our ability to develop, manufacture, market and sell our product candidates and use our proprietary technology without infringing the patent rights of third parties. Numerous third-party U.S. and non-U.S. issued patents and pending applications exist in the area of Synthetic Biotic medicines. We are aware of U.S. and foreign patents and pending patent applications owned by third parties that cover similar therapeutic uses as the product candidates we are developing. We are currently monitoring these patents and patent applications. We may in the future pursue available proceedings in the U.S. and foreign patent offices to challenge the validity of these patents and patent applications. In addition, or alternatively, we may consider whether to seek to negotiate a license of rights to technology covered by one or more of such patents and patent applications. If any patents or patent applications cover our product candidates or technologies, we may not be free to manufacture or market our product candidates as planned, absent such a license, which may not be available to us on commercially reasonable terms, or at all.</w:t>
      </w:r>
    </w:p>
    <w:p>
      <w:pPr>
        <w:spacing w:after="0" w:line="165"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It is also possible that we have failed to identify relevant third-party patents or applications. For example, applications filed before November 29, 2000 and applications filed after that date that will not be filed outside the United States remain confidential until patents issue. Moreover,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44" w:name="page45"/>
    <w:bookmarkEnd w:id="44"/>
    <w:p>
      <w:pPr>
        <w:ind w:right="140"/>
        <w:spacing w:after="0" w:line="275" w:lineRule="auto"/>
        <w:rPr>
          <w:sz w:val="20"/>
          <w:szCs w:val="20"/>
          <w:color w:val="auto"/>
        </w:rPr>
      </w:pPr>
      <w:r>
        <w:rPr>
          <w:rFonts w:ascii="Arial" w:cs="Arial" w:eastAsia="Arial" w:hAnsi="Arial"/>
          <w:sz w:val="17"/>
          <w:szCs w:val="17"/>
          <w:color w:val="auto"/>
        </w:rPr>
        <w:t>patent applications or may identify pending patent applications of potential interest but incorrectly predict the likelihood that such patents may issue with claims of relevance to our technology. In addition, we may be unaware of one or more issued patents that would be infringed by the manufacture, sale or use of a current or future product candidate, or we may incorrectly conclude that a third-party patent is invalid, unenforceable or not infringed by our activities. Additionally, pending patent applications that have been published can, subject to specified limitations, be later amended in a manner that could cover our technologies, our product candidates or the use of our product candidates.</w:t>
      </w:r>
    </w:p>
    <w:p>
      <w:pPr>
        <w:spacing w:after="0" w:line="176"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There have been many lawsuits and other proceedings filed by third parties involving patent and other intellectual property rights in the biotechnology and pharmaceutical industries, including patent infringement lawsuits, interferences, oppositions, and reexamination, post-grant review and equivalent proceedings before the USPTO and corresponding foreign patent offices. Numerous U.S. and foreign issued patents and pending patent applications, which are owned by third parties, exist in the fields in which we are developing product candidates. As the biotechnology and pharmaceutical industries expand and more patents are issued, the risk increases that our product candidates may be subject to claims of infringement of the patent rights of third parties.</w:t>
      </w:r>
    </w:p>
    <w:p>
      <w:pPr>
        <w:spacing w:after="0" w:line="192"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in part, on our licensors to file, prosecute, maintain, defend and enforce patents and patent applications that are material to our business.</w:t>
      </w:r>
    </w:p>
    <w:p>
      <w:pPr>
        <w:spacing w:after="0" w:line="152"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While we normally seek and gain the right to fully prosecute the patent applications relating to our product candidates, there may be times when the patent applications enabling our product candidates are controlled by our licensors. If any of our existing or future licensors fail to appropriately and broadly prosecute and maintain patent protection for patents covering any of our product candidates, our ability to develop and commercialize those product candidates may be adversely affected and we may not be able to prevent competitors from making, using, importing, and selling competing products. In addition, even where we now have the right to control patent prosecution of patents and patent applications we have licensed from third parties, we may still be adversely affected or prejudiced by actions or inactions of our licensors in effect from actions prior to us assuming control over patent prosecution.</w:t>
      </w:r>
    </w:p>
    <w:p>
      <w:pPr>
        <w:spacing w:after="0" w:line="303" w:lineRule="exact"/>
        <w:rPr>
          <w:sz w:val="20"/>
          <w:szCs w:val="20"/>
          <w:color w:val="auto"/>
        </w:rPr>
      </w:pPr>
    </w:p>
    <w:p>
      <w:pPr>
        <w:ind w:right="340"/>
        <w:spacing w:after="0" w:line="375" w:lineRule="auto"/>
        <w:rPr>
          <w:sz w:val="20"/>
          <w:szCs w:val="20"/>
          <w:color w:val="auto"/>
        </w:rPr>
      </w:pPr>
      <w:r>
        <w:rPr>
          <w:rFonts w:ascii="Arial" w:cs="Arial" w:eastAsia="Arial" w:hAnsi="Arial"/>
          <w:sz w:val="15"/>
          <w:szCs w:val="15"/>
          <w:b w:val="1"/>
          <w:bCs w:val="1"/>
          <w:i w:val="1"/>
          <w:iCs w:val="1"/>
          <w:color w:val="auto"/>
        </w:rPr>
        <w:t>If we fail to comply with obligations in the agreements under which we license intellectual property and other rights from third parties or otherwise experience disruptions to our business relationships with our licensors, we could lose license rights that are important to our business.</w:t>
      </w:r>
    </w:p>
    <w:p>
      <w:pPr>
        <w:spacing w:after="0" w:line="1" w:lineRule="exact"/>
        <w:rPr>
          <w:sz w:val="20"/>
          <w:szCs w:val="20"/>
          <w:color w:val="auto"/>
        </w:rPr>
      </w:pPr>
    </w:p>
    <w:p>
      <w:pPr>
        <w:ind w:right="80" w:firstLine="510"/>
        <w:spacing w:after="0" w:line="291" w:lineRule="auto"/>
        <w:rPr>
          <w:sz w:val="20"/>
          <w:szCs w:val="20"/>
          <w:color w:val="auto"/>
        </w:rPr>
      </w:pPr>
      <w:r>
        <w:rPr>
          <w:rFonts w:ascii="Arial" w:cs="Arial" w:eastAsia="Arial" w:hAnsi="Arial"/>
          <w:sz w:val="16"/>
          <w:szCs w:val="16"/>
          <w:color w:val="auto"/>
        </w:rPr>
        <w:t>We are a party to certain intellectual property license agreements and expect to enter into additional license agreements in the future. Our existing agreements impose, and future license agreements may impose, certain obligations, including the payment of milestones and royalties based on revenues from sales of our products utilizing the technologies licensed from our licensors, and such obligations could adversely affect the overall profitability for us of any products that we may seek to commercialize. In addition, we will need to outsource and rely on third parties for many aspects of the clinical development, sales and marketing of our product candidates covered under our license agreements. Delay or failure by these third parties could adversely affect the continuation of our license agreements with our third-party licensors. If we fail to comply with our obligations under these agreements, or we are subject to a bankruptcy, these agreements may be subject to termination by the licensor which could have a material adverse effect on our business.</w:t>
      </w:r>
    </w:p>
    <w:p>
      <w:pPr>
        <w:spacing w:after="0" w:line="27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62" w:lineRule="exact"/>
        <w:rPr>
          <w:sz w:val="20"/>
          <w:szCs w:val="20"/>
          <w:color w:val="auto"/>
        </w:rPr>
      </w:pPr>
    </w:p>
    <w:p>
      <w:pPr>
        <w:ind w:right="80" w:firstLine="510"/>
        <w:spacing w:after="0" w:line="291" w:lineRule="auto"/>
        <w:rPr>
          <w:sz w:val="20"/>
          <w:szCs w:val="20"/>
          <w:color w:val="auto"/>
        </w:rPr>
      </w:pPr>
      <w:r>
        <w:rPr>
          <w:rFonts w:ascii="Arial" w:cs="Arial" w:eastAsia="Arial" w:hAnsi="Arial"/>
          <w:sz w:val="16"/>
          <w:szCs w:val="16"/>
          <w:color w:val="auto"/>
        </w:rPr>
        <w:t>Competitors may infringe our patents or the patents of our licensors. To cease such infringement or unauthorized use, we or one of our licensing partners may be required to file patent infringement claims against a third-party to enforce one of our patents which can be expensive, time-consuming and unpredictable. In addition, in an infringement proceeding or a declaratory judgment action against us,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5" w:name="page46"/>
    <w:bookmarkEnd w:id="45"/>
    <w:p>
      <w:pPr>
        <w:ind w:right="60" w:firstLine="510"/>
        <w:spacing w:after="0" w:line="286" w:lineRule="auto"/>
        <w:rPr>
          <w:sz w:val="20"/>
          <w:szCs w:val="20"/>
          <w:color w:val="auto"/>
        </w:rPr>
      </w:pPr>
      <w:r>
        <w:rPr>
          <w:rFonts w:ascii="Arial" w:cs="Arial" w:eastAsia="Arial" w:hAnsi="Arial"/>
          <w:sz w:val="16"/>
          <w:szCs w:val="16"/>
          <w:color w:val="auto"/>
        </w:rPr>
        <w:t>If we or one of our licensing partners were to initiate legal proceedings against a third-party to enforce a patent covering one of our product candidates, the defendant could counterclaim that the patent covering our product candidate is invalid and/or unenforceable. In patent litigation in the United States, defendant counterclaims alleging invalidity and/or unenforceability are commonplace, and there are numerous grounds upon which a third-party can assert invalidity or unenforceability of a patent. Grounds for a validity challenge could be an alleged failure to meet any of several statutory requirements, including lack of novelty, obviousness, written description, clarity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administrative bodies in the United States or other jurisdictions, even outside the context of litigation. Such mechanisms include re-examination, inter partes review, post-grant review and equivalent proceedings in foreign jurisdictions, such as opposition or derivation proceedings. Such proceedings could result in revocation or amendment to our patents in such a way that they no longer cover and protect our product candidates. The outcome following legal assertions of invalidity and unenforceability is unpredictable. With respect to the validity of our patents, for example, we cannot be certain that there is no invalidating prior art of which we, our patent counsel, and the patent examiner were unaware during prosecution. If a defendant were to prevail on a legal assertion of invalidity, unpatentability and/or unenforceability, we may lose at least part, and perhaps all, of the patent protection on our product candidates. Such a loss of patent protection could have a material adverse impact on our business.</w:t>
      </w:r>
    </w:p>
    <w:p>
      <w:pPr>
        <w:spacing w:after="0" w:line="174"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Interference or derivation proceedings provoked by third parties or brought by us or declared by the USPTO may be necessary to determine the priority of inventions or correct inventorship with respect to our patents or patent applications or those of our licensors. An unfavorable outcome could result in a loss of our current patent rights and could require us to cease using the related technology or to attempt to license rights to us from the prevailing party. Our business could be harmed if the prevailing party does not offer us a license on commercially reasonable terms. Our defense of litigation, derivation or interference proceedings may result in a decision adverse to our interests and, even if successful, may result in substantial costs and distract our management and other employees. In addition, we may be unable to raise the funds necessary to conduct our clinical trials, continue our research programs, license necessary technology from third parties, or enter into development partnerships that would help us bring our product candidates to market.</w:t>
      </w:r>
    </w:p>
    <w:p>
      <w:pPr>
        <w:spacing w:after="0" w:line="192" w:lineRule="exact"/>
        <w:rPr>
          <w:sz w:val="20"/>
          <w:szCs w:val="20"/>
          <w:color w:val="auto"/>
        </w:rPr>
      </w:pPr>
    </w:p>
    <w:p>
      <w:pPr>
        <w:ind w:right="120" w:firstLine="510"/>
        <w:spacing w:after="0" w:line="301" w:lineRule="auto"/>
        <w:rPr>
          <w:sz w:val="20"/>
          <w:szCs w:val="20"/>
          <w:color w:val="auto"/>
        </w:rPr>
      </w:pPr>
      <w:r>
        <w:rPr>
          <w:rFonts w:ascii="Arial" w:cs="Arial" w:eastAsia="Arial" w:hAnsi="Arial"/>
          <w:sz w:val="16"/>
          <w:szCs w:val="16"/>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Any disclosure of confidential information could adversely affect our business. If securities analysts or investors perceive these results to be negative, it could have a substantial adverse effect on the price of our common stock.</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1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may in the future be subject to claims that former employees, consultants, collaborators, advisors, independent contractors or other third parties have an interest in our patents or other intellectual property as an inventor or co-inventor or other claims challenging the inventorship of our patents or ownership of our intellectual property (including patents and intellectual property that we in-license). Therefore, our rights to these patents may not be exclusive and third parties, including competitors, may have access to intellectual property that is important to our business. In addition, co-owners from whom we do not yet have a license or assignment may raise claims surrounding inventorship or ownership of patents that ultimately issue from this patent family, potentially resulting in issued patents to which we would not have rights under our existing license agreements. Further, in jurisdictions outside the United States, a license may not be enforceable unless all the owners of the intellectual property agree or consent to the license. In addition, we may have inventorship disputes arising from conflicting obligations of consultants or others who are involved in developing our product candidates. Litigation may be necessary to defend against these and other claims challenging inventorship of our patents.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6" w:name="page47"/>
    <w:bookmarkEnd w:id="46"/>
    <w:p>
      <w:pPr>
        <w:ind w:right="60"/>
        <w:spacing w:after="0" w:line="263"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collaborators, advisors, independent contractors or other third parties have wrongfully used or disclosed confidential information of third parties or that our employees have wrongfully used or disclosed alleged trade secrets of their former employers.</w:t>
      </w:r>
    </w:p>
    <w:p>
      <w:pPr>
        <w:spacing w:after="0" w:line="76" w:lineRule="exact"/>
        <w:rPr>
          <w:sz w:val="20"/>
          <w:szCs w:val="20"/>
          <w:color w:val="auto"/>
        </w:rPr>
      </w:pPr>
    </w:p>
    <w:p>
      <w:pPr>
        <w:ind w:right="60" w:firstLine="510"/>
        <w:spacing w:after="0" w:line="253" w:lineRule="auto"/>
        <w:rPr>
          <w:sz w:val="20"/>
          <w:szCs w:val="20"/>
          <w:color w:val="auto"/>
        </w:rPr>
      </w:pPr>
      <w:r>
        <w:rPr>
          <w:rFonts w:ascii="Arial" w:cs="Arial" w:eastAsia="Arial" w:hAnsi="Arial"/>
          <w:sz w:val="18"/>
          <w:szCs w:val="18"/>
          <w:color w:val="auto"/>
        </w:rPr>
        <w:t>We have received confidential and proprietary information from third parties. In addition, we employ individuals who were previously employed at universities, academic research institutions and at other biotechnology or pharmaceutical companies, including our competitors or potential competitors. Although we have written agreements with and make every effort to ensure that our employees, consultants, collaborators, advisors, independent contractors or other third parties do not use the proprietary information or intellectual property rights of others in their work for us, we may in the future be subject to claims that our employees, consultants, collaborators, advisors, independent contractors or other third parties have inadvertently or intentionally used or disclosed confidential information of these third parties.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100" w:firstLine="510"/>
        <w:spacing w:after="0" w:line="270" w:lineRule="auto"/>
        <w:rPr>
          <w:sz w:val="20"/>
          <w:szCs w:val="20"/>
          <w:color w:val="auto"/>
        </w:rPr>
      </w:pPr>
      <w:r>
        <w:rPr>
          <w:rFonts w:ascii="Arial" w:cs="Arial" w:eastAsia="Arial" w:hAnsi="Arial"/>
          <w:sz w:val="17"/>
          <w:szCs w:val="17"/>
          <w:color w:val="auto"/>
        </w:rPr>
        <w:t>We have limited intellectual property rights outside the United States. Filing, prosecuting, and defending patents on product candidates in all countries throughout the world would be prohibitively expensive, and intellectual property rights in some countries outside the United States can have a different scope and strength and be less extensive than those in the United States. In addition, the laws of some foreign countries do not protect intellectual property rights to the same extent as federal and state laws in the United States. Consequently, we may not be able to prevent third parties (including competitors)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rights are not as strong as those in the United States. These products may compete with our products and our patents or other intellectual property rights may not be effective or sufficient to prevent them from competing.</w:t>
      </w:r>
    </w:p>
    <w:p>
      <w:pPr>
        <w:spacing w:after="0" w:line="181" w:lineRule="exact"/>
        <w:rPr>
          <w:sz w:val="20"/>
          <w:szCs w:val="20"/>
          <w:color w:val="auto"/>
        </w:rPr>
      </w:pPr>
    </w:p>
    <w:p>
      <w:pPr>
        <w:jc w:val="both"/>
        <w:ind w:right="200" w:firstLine="510"/>
        <w:spacing w:after="0" w:line="286"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some countries, particularly some developing countries, do not favor the enforcement of patents, trade secrets, and other intellectual property protection, particularly those relating to biopharmaceutical products, which could make it difficult in those jurisdictions for us to stop the infringement or misappropriation of our patents or other intellectual property rights, or the marketing of competing products in violation of our proprietary rights.</w:t>
      </w:r>
    </w:p>
    <w:p>
      <w:pPr>
        <w:spacing w:after="0" w:line="1"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Proceedings to enforce our patents and other intellectual property rights in foreign jurisdictions, whether or not successful, could result in substantial costs and divert our efforts and attention from other aspects of our business. Furthermore, such proceedings could put our patents at risk of being invalidated, held unenforceable or interpreted narrowly and could put our patent applications at risk of not issuing and could provoke third parties to assert claims of infringement or misappropriation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8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we may not be able to build name recognition in our markets of interest and our business may be adversely affected.</w:t>
      </w:r>
    </w:p>
    <w:p>
      <w:pPr>
        <w:spacing w:after="0" w:line="6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have filed for trademark registration of certain marks relating to our current branding. If our trademarks and trade names are not adequately protected, we may not be able to build name recognition in our markets of interest and our business may be adversely affected. Our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unregistered trademarks or trade names. Over the long term, if we are unable to successfully register our trademarks and trade names and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some aspects of our product formulation, research, preclinical, and clinical studies, and those third parties may not perform satisfactorily, including by failing to meet deadlines for the completion of such formulation, research or testing.</w:t>
      </w:r>
    </w:p>
    <w:p>
      <w:pPr>
        <w:spacing w:after="0" w:line="76" w:lineRule="exact"/>
        <w:rPr>
          <w:sz w:val="20"/>
          <w:szCs w:val="20"/>
          <w:color w:val="auto"/>
        </w:rPr>
      </w:pPr>
    </w:p>
    <w:p>
      <w:pPr>
        <w:ind w:right="160" w:firstLine="510"/>
        <w:spacing w:after="0" w:line="288" w:lineRule="auto"/>
        <w:rPr>
          <w:sz w:val="20"/>
          <w:szCs w:val="20"/>
          <w:color w:val="auto"/>
        </w:rPr>
      </w:pPr>
      <w:r>
        <w:rPr>
          <w:rFonts w:ascii="Arial" w:cs="Arial" w:eastAsia="Arial" w:hAnsi="Arial"/>
          <w:sz w:val="16"/>
          <w:szCs w:val="16"/>
          <w:color w:val="auto"/>
        </w:rPr>
        <w:t>We do not independently conduct all aspects of our drug discovery activities, compound development or preclinical studies of product candidates. We currently rely, and expect to continue to rely, on third parties to conduct some aspects of our research and development and preclinical studies. Any of these third parties may terminate their engagements with us at any time. If we need to enter into alternative arrangements, it would delay our product development activities. Our reliance on these third parties for research and development activities reduces our control over these activities but does not relieve us of our responsibilities. For example, for product candidates that we develop and commercialize on our own, we will remain responsible for ensuring that each of our studies that support our clinical trial applications and our clinical trials are conducted in accordance with the study plan and protocols for the trial. If these third parties do not successfully carry out their contractual duties, meet expected deadlines or conduct our studies in accordance with regulatory requirements or our stated study plans and protocols, we will not be able to complete, or may be delayed in completing, the necessary preclinical studies to enable us or our strategic alliance partners to select viable product candidates for clinical trial application submissions and will not be able to, or may be delayed in our efforts to, successfully develop and commercialize such product candidates.</w:t>
      </w:r>
    </w:p>
    <w:p>
      <w:pPr>
        <w:spacing w:after="0" w:line="276"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We rely on third-party supply and manufacturing partners for drug supplies for our late-stage clinical activities, and may do the same for any commercial supplies of our product candidates.</w:t>
      </w:r>
    </w:p>
    <w:p>
      <w:pPr>
        <w:spacing w:after="0" w:line="62"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We rely on third-party supply and manufacturing partners to supply the materials and components to manufacture late-stage clinical trial drug supplies. We have not yet manufactured or formulated any product candidate on a commercial scale and may not be able to do so for any of our product candidates. We will work to develop and optimize our manufacturing process, and we cannot be sure that the process will result in therapies that are safe, potent or effective.</w:t>
      </w:r>
    </w:p>
    <w:p>
      <w:pPr>
        <w:spacing w:after="0" w:line="187"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There can be no assurance that our supply of research and development, preclinical and clinical development drugs and other materials will not be limited, interrupted, restricted in certain geographic regions or of satisfactory quality or continue to be available at acceptable prices. In particular, any replacement of any product formulation manufacturer we may engage could require significant effort and expertise because there may be a limited number of qualified replacements.</w:t>
      </w:r>
    </w:p>
    <w:p>
      <w:pPr>
        <w:spacing w:after="0" w:line="187"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Synthetic Biotic medicines are complex and difficult to manufacture. We could experience production or technology transfer problems that result in delays in our development or commercialization schedules or otherwise adversely affect our business. Issues with the manufacturing process, even minor deviations from the normal process, could result in insufficient yield, product deficiencies or manufacturing failures that result in lot failures, insufficient inventory, and product recalls.</w:t>
      </w:r>
    </w:p>
    <w:p>
      <w:pPr>
        <w:spacing w:after="0" w:line="187" w:lineRule="exact"/>
        <w:rPr>
          <w:sz w:val="20"/>
          <w:szCs w:val="20"/>
          <w:color w:val="auto"/>
        </w:rPr>
      </w:pPr>
    </w:p>
    <w:p>
      <w:pPr>
        <w:ind w:right="180" w:firstLine="510"/>
        <w:spacing w:after="0" w:line="257" w:lineRule="auto"/>
        <w:rPr>
          <w:sz w:val="20"/>
          <w:szCs w:val="20"/>
          <w:color w:val="auto"/>
        </w:rPr>
      </w:pPr>
      <w:r>
        <w:rPr>
          <w:rFonts w:ascii="Arial" w:cs="Arial" w:eastAsia="Arial" w:hAnsi="Arial"/>
          <w:sz w:val="18"/>
          <w:szCs w:val="18"/>
          <w:color w:val="auto"/>
        </w:rPr>
        <w:t>Many factors common to the manufacturing of most biologics and drugs could also cause production interruptions, including raw materials shortages, raw material failures, growth media failures, equipment malfunctions, facility contamination, labor problems, natural disasters, disruption in utility services, terrorist activities, or acts of god beyond our control. We also may encounter problems in hiring and retaining the experienced specialized personnel needed to operate our manufacturing process, which could result in delays in our production or difficulties in maintaining compliance with applicable regulatory requirements.</w:t>
      </w:r>
    </w:p>
    <w:p>
      <w:pPr>
        <w:spacing w:after="0" w:line="188"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Any problems in our manufacturing processes or facilities could make us a less attractive collaborator for academic research institutions and other parties, which could limit our access to additional attractive development programs, result in delays in our clinical development or marketing schedules and harm our business.</w:t>
      </w:r>
    </w:p>
    <w:p>
      <w:pPr>
        <w:spacing w:after="0" w:line="184"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GMP regulations. Any of our suppliers or manufacturers could fail to comply with such requirements or to perform our obligations to us in relation to quality, timing or otherwise, or if our supply of components or other materials could become limited or interrupted for other reasons. Under these circumstances, we may choose or be forced to manufacture the materials ourselves, for which we currently do not have the capabilities or resources, manufacture in collaboration with a third-party at their facilities, or enter into an agreement with another third-party, which we may not be able to do on reasonable terms, if at all. In some cases, the technical skills or technology required to manufacture our product candidates may be unique or proprietary to the original manufacturer and we may have difficulty, or there may be contractual restrictions prohibiting us from transferring such skills or technology to another third-party and a feasible alternative may not exist. These factors would increase our reliance on such manufacturer or require us to obtain a license from such manufacturer in order to have another third-party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8" w:name="page49"/>
    <w:bookmarkEnd w:id="48"/>
    <w:p>
      <w:pPr>
        <w:ind w:right="100" w:firstLine="510"/>
        <w:spacing w:after="0" w:line="255" w:lineRule="auto"/>
        <w:rPr>
          <w:sz w:val="20"/>
          <w:szCs w:val="20"/>
          <w:color w:val="auto"/>
        </w:rPr>
      </w:pPr>
      <w:r>
        <w:rPr>
          <w:rFonts w:ascii="Arial" w:cs="Arial" w:eastAsia="Arial" w:hAnsi="Arial"/>
          <w:sz w:val="18"/>
          <w:szCs w:val="18"/>
          <w:color w:val="auto"/>
        </w:rPr>
        <w:t>We may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Our or a third-party’s failure to execute on our manufacturing requirements could adversely affect our business in a number of ways, including:</w:t>
      </w:r>
    </w:p>
    <w:p>
      <w:pPr>
        <w:spacing w:after="0" w:line="84" w:lineRule="exact"/>
        <w:rPr>
          <w:sz w:val="20"/>
          <w:szCs w:val="20"/>
          <w:color w:val="auto"/>
        </w:rPr>
      </w:pPr>
    </w:p>
    <w:p>
      <w:pPr>
        <w:ind w:left="1000" w:hanging="493"/>
        <w:spacing w:after="0"/>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 inability to initiate or continue clinical trials of product candidates under development, which may impact our potential economic benefits;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 in submitting regulatory applications, or receiving regulatory approvals, for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loss of the cooperation of a collaborator;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subjecting our product candidates to additional inspections by regulatory authorities;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requirements to cease distribution or to recall batches of our product candidates;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 the event of approval to market and commercialize a product candidate, an inability to meet commercial demands for our products.</w:t>
      </w:r>
    </w:p>
    <w:p>
      <w:pPr>
        <w:spacing w:after="0" w:line="345" w:lineRule="exact"/>
        <w:rPr>
          <w:sz w:val="20"/>
          <w:szCs w:val="20"/>
          <w:color w:val="auto"/>
        </w:rPr>
      </w:pPr>
    </w:p>
    <w:p>
      <w:pPr>
        <w:ind w:right="140"/>
        <w:spacing w:after="0" w:line="375" w:lineRule="auto"/>
        <w:rPr>
          <w:sz w:val="20"/>
          <w:szCs w:val="20"/>
          <w:color w:val="auto"/>
        </w:rPr>
      </w:pPr>
      <w:r>
        <w:rPr>
          <w:rFonts w:ascii="Arial" w:cs="Arial" w:eastAsia="Arial" w:hAnsi="Arial"/>
          <w:sz w:val="15"/>
          <w:szCs w:val="15"/>
          <w:b w:val="1"/>
          <w:bCs w:val="1"/>
          <w:i w:val="1"/>
          <w:iCs w:val="1"/>
          <w:color w:val="auto"/>
        </w:rPr>
        <w:t>We enter into various contracts in the normal course of our business in which we indemnify the other party to the contract. In the event we have to perform under these indemnification provisions, it could have a material adverse effect on our business, financial condition and results of operations.</w:t>
      </w:r>
    </w:p>
    <w:p>
      <w:pPr>
        <w:spacing w:after="0" w:line="1"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In the normal course of business, we periodically enter into academic, commercial, service, collaboration, licensing, consulting and other agreements that contain indemnification provisions. With respect to our academic and other research agreements, we typically indemnify the institution and related parties from losses arising from claims relating to the products, processes or services made, used, sold or performed pursuant to the agreements for which we have secured licenses, and from claims arising from our or our sublicensees’ exercise of rights under the agreement. With respect to our collaboration agreements, we indemnify our collaborators from any third-party product liability claims that could result from the production, use or consumption of the product, as well as for alleged infringements of any patent or other intellectual property right by a third-party. With respect to consulting agreements, we indemnify consultants from claims arising from the good faith performance of their services.</w:t>
      </w:r>
    </w:p>
    <w:p>
      <w:pPr>
        <w:spacing w:after="0" w:line="177"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Should our obligation under an indemnification provision exceed applicable insurance coverage or should we be denied insurance coverage, our business, financial condition and results of operations could be adversely affected. Similarly, if we are relying on a collaborator to indemnify us and the collaborator is denied insurance coverage or the indemnification obligation exceeds the applicable insurance coverage, and if the collaborator does not have other assets available to indemnify us, our business, financial condition and results of operations could be adversely affected.</w:t>
      </w:r>
    </w:p>
    <w:p>
      <w:pPr>
        <w:spacing w:after="0" w:line="26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To the extent we are able to enter into collaborative arrangements or strategic alliances, we may be exposed to risks related to those collaborations and alliances.</w:t>
      </w:r>
    </w:p>
    <w:p>
      <w:pPr>
        <w:spacing w:after="0" w:line="62" w:lineRule="exact"/>
        <w:rPr>
          <w:sz w:val="20"/>
          <w:szCs w:val="20"/>
          <w:color w:val="auto"/>
        </w:rPr>
      </w:pPr>
    </w:p>
    <w:p>
      <w:pPr>
        <w:ind w:right="180" w:firstLine="510"/>
        <w:spacing w:after="0" w:line="311" w:lineRule="auto"/>
        <w:rPr>
          <w:sz w:val="20"/>
          <w:szCs w:val="20"/>
          <w:color w:val="auto"/>
        </w:rPr>
      </w:pPr>
      <w:r>
        <w:rPr>
          <w:rFonts w:ascii="Arial" w:cs="Arial" w:eastAsia="Arial" w:hAnsi="Arial"/>
          <w:sz w:val="16"/>
          <w:szCs w:val="16"/>
          <w:color w:val="auto"/>
        </w:rPr>
        <w:t>Biotechnology companies sometimes become dependent upon collaborative arrangements or strategic alliances to complete the development and commercialization of product candidates. If we elect to enter into collaborative arrangements or strategic alliances, these arrangements may place the development of our product candidates outside our control, may require us to relinquish important rights or may otherwise be on terms unfavorable to us.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Dependence on collaborative arrangements or strategic alliances would subject us to a number of risks, including the risk that:</w:t>
      </w:r>
    </w:p>
    <w:p>
      <w:pPr>
        <w:spacing w:after="0" w:line="117" w:lineRule="exact"/>
        <w:rPr>
          <w:sz w:val="20"/>
          <w:szCs w:val="20"/>
          <w:color w:val="auto"/>
        </w:rPr>
      </w:pPr>
    </w:p>
    <w:p>
      <w:pPr>
        <w:ind w:left="1000" w:hanging="493"/>
        <w:spacing w:after="0"/>
        <w:tabs>
          <w:tab w:leader="none" w:pos="10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we may not be able to control the amount and timing of resources that our collaborators may devote to the relevant product candidates;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collaborators may experience financial difficulties;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be required to relinquish important rights, such as marketing and distribution rights;</w:t>
      </w:r>
    </w:p>
    <w:p>
      <w:pPr>
        <w:spacing w:after="0" w:line="117" w:lineRule="exact"/>
        <w:rPr>
          <w:rFonts w:ascii="Arial" w:cs="Arial" w:eastAsia="Arial" w:hAnsi="Arial"/>
          <w:sz w:val="18"/>
          <w:szCs w:val="18"/>
          <w:color w:val="auto"/>
        </w:rPr>
      </w:pPr>
    </w:p>
    <w:p>
      <w:pPr>
        <w:ind w:left="1000" w:right="240" w:hanging="493"/>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collaborator’s business strategy may also adversely affect a collaborator’s willingness or ability to complete our obligations under any arrangement;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9" w:name="page50"/>
    <w:bookmarkEnd w:id="49"/>
    <w:p>
      <w:pPr>
        <w:ind w:left="1000" w:right="200" w:hanging="493"/>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collaborator could independently move forward with a competing drug candidate developed either independently or in collaboration with others, including our competitors; and</w:t>
      </w:r>
    </w:p>
    <w:p>
      <w:pPr>
        <w:spacing w:after="0" w:line="62" w:lineRule="exact"/>
        <w:rPr>
          <w:rFonts w:ascii="Arial" w:cs="Arial" w:eastAsia="Arial" w:hAnsi="Arial"/>
          <w:sz w:val="18"/>
          <w:szCs w:val="18"/>
          <w:color w:val="auto"/>
        </w:rPr>
      </w:pPr>
    </w:p>
    <w:p>
      <w:pPr>
        <w:ind w:left="1000" w:right="500" w:hanging="493"/>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collaborative arrangements are often terminated or allowed to expire, which would delay the development and may increase the cost of developing our drug candidates.</w:t>
      </w:r>
    </w:p>
    <w:p>
      <w:pPr>
        <w:spacing w:after="0" w:line="31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may attempt to form collaborations in the future with respect to our product candidates, but we may not be able to do so, which may cause us to alter our development and commercialization plans.</w:t>
      </w:r>
    </w:p>
    <w:p>
      <w:pPr>
        <w:spacing w:after="0" w:line="62"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auto"/>
        </w:rPr>
        <w:t>We may attempt to form strategic collaborations, create joint ventures or enter into licensing arrangements with third parties with respect to our programs or platform that we believe will complement or augment our existing business. We may face significant competition in seeking appropriate strategic collaborators, and the negotiation process to secure appropriate terms is time consuming and complex. We may not be successful in our efforts to establish such a strategic collaboration for any product candidates and programs on terms that are acceptable to us, or at all. This may be because our product candidates and programs may be deemed to be at too early of a stage of development for collaborative effort, our research and development pipeline may be viewed as insufficient, the competitive or intellectual property landscape may be viewed as too intense or risky, and/or third parties may not view our product candidates and programs as having sufficient potential for commercialization, including the likelihood of an adequate safety and efficacy profile.</w:t>
      </w:r>
    </w:p>
    <w:p>
      <w:pPr>
        <w:spacing w:after="0" w:line="192"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Any delays in identifying suitable collaborators and entering into agreements to develop and/or commercialize our product candidates could delay the development or commercialization of our product candidates, which may reduce their competitiveness even if they reach the market. Absent a strategic collaborator, we would need to undertake development and/or commercialization activities at our own expense. If we elect to fund and undertake development and/or commercialization activities on our own, we may need to obtain additional expertise and additional capital, which may not be available to us on acceptable terms or at all. If we are unable to do so, we may not be able to develop our product candidates or bring them to market and our business may be materially and adversely affected.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2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b w:val="1"/>
          <w:bCs w:val="1"/>
          <w:i w:val="1"/>
          <w:iCs w:val="1"/>
          <w:color w:val="auto"/>
        </w:rPr>
        <w:t>If any of our product candidates is approved for marketing and commercialization and we are unable to develop sales, marketing and distribution capabilities on our own or enter into agreements with third parties to perform these functions on acceptable terms, we will be unable to successfully commercialize any such future products.</w:t>
      </w:r>
    </w:p>
    <w:p>
      <w:pPr>
        <w:spacing w:after="0" w:line="76" w:lineRule="exact"/>
        <w:rPr>
          <w:sz w:val="20"/>
          <w:szCs w:val="20"/>
          <w:color w:val="auto"/>
        </w:rPr>
      </w:pPr>
    </w:p>
    <w:p>
      <w:pPr>
        <w:ind w:right="240" w:firstLine="510"/>
        <w:spacing w:after="0" w:line="269" w:lineRule="auto"/>
        <w:rPr>
          <w:sz w:val="20"/>
          <w:szCs w:val="20"/>
          <w:color w:val="auto"/>
        </w:rPr>
      </w:pPr>
      <w:r>
        <w:rPr>
          <w:rFonts w:ascii="Arial" w:cs="Arial" w:eastAsia="Arial" w:hAnsi="Arial"/>
          <w:sz w:val="17"/>
          <w:szCs w:val="17"/>
          <w:color w:val="auto"/>
        </w:rPr>
        <w:t>We currently have no sales, marketing or distribution capabilities or experience. If any of our product candidates is approved for marketing and commercialization, we will need to develop internal sales, marketing and distribution capabilities to commercialize such products, which would be expensive and time-consuming, or enter into collaborations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collaborators,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receive will depend upon the efforts of third parties and there can be no assurance that such third parties will establish adequate sales and distribution capabilities or be successful in gaining market acceptance of any approved product. If we are not successful in commercializing any product approved for marketing and commercialization in the future, either on our own or through third parties, our business, financial condition, results of operations and prospects may be adversely affected.</w:t>
      </w:r>
    </w:p>
    <w:p>
      <w:pPr>
        <w:spacing w:after="0" w:line="290"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b w:val="1"/>
          <w:bCs w:val="1"/>
          <w:i w:val="1"/>
          <w:iCs w:val="1"/>
          <w:color w:val="auto"/>
        </w:rPr>
        <w:t>If the market opportunities for our product candidates are smaller than we believe they are, we may not meet our revenue expectations and, assuming approval of a product candidate, our business may suffer. Because the patient populations in the market for our product candidates may be small, we must be able to successfully identify patients and acquire a significant market share to achieve profitability and growth.</w:t>
      </w:r>
    </w:p>
    <w:p>
      <w:pPr>
        <w:spacing w:after="0" w:line="41"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Given the small number of patients who have the diseases that we are targeting, our eligible patient population and pricing estimates may differ significantly from the actual market addressable by our product candidates. Our projections of both the number of people who have applicable diseases, as well as the subset of people with these diseases who have the potential to benefit from treatment with our product candidates, are based on our beliefs and estimates. These estimates have been derived from a variety of sources, including scientific literature, patient foundations, or market research, and may prove to be incorrect. Further, new studies may change the estimated incidence or prevalence of these diseases. The number of patients may turn out to be lower than expected. The potentially addressable patient population for each of our product candidates may be limited or may not be amenable to treatment with our product candidates, and new patients may become increasingly difficult to identify or gain access to, which would adversely affect our business, financial condition, results of operations and prospects.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i w:val="1"/>
          <w:iCs w:val="1"/>
          <w:color w:val="auto"/>
        </w:rPr>
        <w:t>We face substantial competition and our competitors may discover, develop or commercialize products faster or more successfully than us.</w:t>
      </w:r>
    </w:p>
    <w:p>
      <w:pPr>
        <w:spacing w:after="0" w:line="140"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The development and commercialization of new products is highly competitive. We face competition from major pharmaceutical companies, specialty pharmaceutical companies, biotechnology companies, universities and other research institutions worldwide with respect to our product candidates that we may seek to develop or commercialize in the future. For example, BioMarin, Inc., Nestlé Health Science S.A. (Codexis, Inc.), Homology Medicines, Inc., American Gene Technologies International Inc., Sangamo Therapeutics, Inc., Sanofi S.A., Generation Bio Co., Agios Pharmaceuticals, Inc., Trucode Gene Repair, Inc., SOM Biotech SL and other discovery stage companies have developed or are developing product candidates for the treatment of PKU. Allena Pharmaceuticals, Inc, Novome Biotechnologies, Inc., Federation Bio, Inc., Oxidien Pharmaceuticals L.L.C. and others are developing product candidates for Enteric Hyperoxaluria. Merck &amp; Co. Inc., Spring Bank Pharmaceuticals, Inc., GlaxoSmithKline plc., Bristol Myers Squibb Company, and Silicon Therapeutics have STING agonists in clinical development. Companies developing other modalities which target STING or similar mechanisms include companies such as Roche (Genentech) and Pfizer Inc. / Merck KgaA. Multiple companies develop and market antibodies called checkpoint inhibitors including Pfizer Inc., Roche (Genentech), Merck, Bristol-Myers Squibb Company, Eli Lilly &amp; Co, and others. Our competitors may succeed in developing, acquiring or licensing technologies and products that are more effective or less costly than the product candidates that we are currently developing or that we may develop, which could render our product candidates obsolete and noncompetitive. In addition to the competition we face from alternative therapies for the diseases we intend to target with our product candidates, we are also aware of several companies that are also working specifically to develop engineered bacteria as cellular drug therapies, such as Precigen, Inc. Further there are several companies working to develop other similar products. Third-party payors, including governmental and private insurers, may also encourage the use of generic products.</w:t>
      </w:r>
    </w:p>
    <w:p>
      <w:pPr>
        <w:spacing w:after="0" w:line="167"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If our competitors obtain marketing approval from the FDA or comparable foreign regulatory authorities for their product candidates more rapidly than us, it could result in our competitors establishing a strong market position before we are able to enter the market.</w:t>
      </w:r>
    </w:p>
    <w:p>
      <w:pPr>
        <w:spacing w:after="0" w:line="170"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auto"/>
        </w:rPr>
        <w:t>Many of our competitors have materially greater name recognition and substantially greater financial, manufacturing, marketing, research and drug development resources than we do. Additional mergers and acquisitions in the biotechnology and pharmaceutical industries may result in even more resources being concentrated in our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collaborative or licensing relationships with our competitors. Failure of our product candidates to effectively compete against established treatment options or in the future with new products currently in development would harm our business, financial condition, results of operations and prospects.</w:t>
      </w:r>
    </w:p>
    <w:p>
      <w:pPr>
        <w:spacing w:after="0" w:line="30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commercial success of any of our current or future product candidates will depend upon the degree of market acceptance by physicians, patients, third-party payors, and others in the medical community.</w:t>
      </w:r>
    </w:p>
    <w:p>
      <w:pPr>
        <w:spacing w:after="0" w:line="62"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Even with approvals from the FDA and comparable foreign regulatory authorities, the commercial success of our products will depend in part on the health care providers, patients, and third-party payors accepting our product candidates as medically useful, cost-effective, and safe. Any product that we bring to the market may not gain market acceptance by physicians, patients and third-party payors. The degree of market acceptance of any of our products will depend on a number of factors, including but not limited to:</w:t>
      </w:r>
    </w:p>
    <w:p>
      <w:pPr>
        <w:spacing w:after="0" w:line="79" w:lineRule="exact"/>
        <w:rPr>
          <w:sz w:val="20"/>
          <w:szCs w:val="20"/>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efficacy of the product as demonstrated in clinical trials and potential advantages over competing treatments;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safety and side effect profile of the product as demonstrated in clinical trials and potential advantages over competing treatments;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prevalence and severity of the disease targeted;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clinical indications for which approval is granted, including any limitations or warnings contained in a product’s approved labeling;</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convenience and ease of administration;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 of treatment;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willingness of the patients and physicians to accept products engineered from bacteria and these therapies;</w:t>
      </w:r>
    </w:p>
    <w:p>
      <w:pPr>
        <w:spacing w:after="0" w:line="117"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perceived ratio of risk and benefit of these therapies by physicians, patients, and payers, and the willingness of physicians to recommend these therapies to patients based on such risks and benefits;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marketing, sales and distribution support for the product;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1" w:name="page52"/>
    <w:bookmarkEnd w:id="51"/>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publicity concerning the products or competing products and treatments;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pricing and availability of third-party insurance coverage and reimbursement.</w:t>
      </w:r>
    </w:p>
    <w:p>
      <w:pPr>
        <w:spacing w:after="0" w:line="225"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Even if a product displays a favorable efficacy and safety profile upon approval, market acceptance of the product remains uncertain. Efforts to educate the medical community and third-party payors on the benefits of the products may require significant investment and resources and may never be successful. If our products fail to achieve an adequate level of acceptance by physicians, patients, third-party payors, and other health care providers, we will not be able to generate sufficient revenue to become or remain profitable.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any efforts to identify, license, discover, develop, or commercialize additional product candidates.</w:t>
      </w:r>
    </w:p>
    <w:p>
      <w:pPr>
        <w:spacing w:after="0" w:line="11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Although a substantial amount of our effort will focus on the clinical testing, potential approval, and commercialization of our existing product candidates, the success of our business is also expected to depend in part upon our ability to identify, license, discover, develop, or commercialize additional product candidates. Research programs to identify new product candidates require substantial technical, financial, and human resources. We may focus our efforts and resources on potential programs or product candidates that ultimately prove to be unsuccessful. Our research programs or licensing efforts may fail to yield additional product candidates for clinical development and commercialization for a number of reasons, including but not limited to the following:</w:t>
      </w:r>
    </w:p>
    <w:p>
      <w:pPr>
        <w:spacing w:after="0" w:line="84" w:lineRule="exact"/>
        <w:rPr>
          <w:sz w:val="20"/>
          <w:szCs w:val="20"/>
          <w:color w:val="auto"/>
        </w:rPr>
      </w:pPr>
    </w:p>
    <w:p>
      <w:pPr>
        <w:ind w:left="1000" w:right="520" w:hanging="493"/>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research or business development methodology or search criteria and process may be unsuccessful in identifying potential product candidates;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may not be able or willing to assemble sufficient resources to acquire or discover additional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product candidates may not succeed in preclinical or clinical testing;</w:t>
      </w:r>
    </w:p>
    <w:p>
      <w:pPr>
        <w:spacing w:after="0" w:line="117" w:lineRule="exact"/>
        <w:rPr>
          <w:rFonts w:ascii="Arial" w:cs="Arial" w:eastAsia="Arial" w:hAnsi="Arial"/>
          <w:sz w:val="18"/>
          <w:szCs w:val="18"/>
          <w:color w:val="auto"/>
        </w:rPr>
      </w:pPr>
    </w:p>
    <w:p>
      <w:pPr>
        <w:ind w:left="1000" w:right="300" w:hanging="493"/>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potential product candidates may be shown to have harmful side effects or may have other characteristics that may make the products unmarketable or unlikely to receive marketing approval;</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 or less attractive;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product candidates we develop may be covered by third parties’ patents or other exclusive rights;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market for a product candidate may change during development or commercialization so that such a product may become unreasonable to continue to develop or commercialize;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product candidate may not be accepted as safe and effective by patients, the medical community, or third-party payors.</w:t>
      </w:r>
    </w:p>
    <w:p>
      <w:pPr>
        <w:spacing w:after="0" w:line="225"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If any of these events occur, we may be forced to abandon our development efforts for one or more product candidates, or we may not be able to identify, license, discover, develop, or commercialize additional product candidates, which would have a material adverse effect on our business, financial condition or results of operations and could potentially cause us to cease operations.</w:t>
      </w:r>
    </w:p>
    <w:p>
      <w:pPr>
        <w:spacing w:after="0" w:line="29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Failure to obtain or maintain adequate reimbursement or insurance coverage for products, if any, could limit our ability to market those products and decrease our ability to generate revenue.</w:t>
      </w:r>
    </w:p>
    <w:p>
      <w:pPr>
        <w:spacing w:after="0" w:line="62"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The pricing, coverage, and reimbursement of our approved products, if any, must be sufficient to support our commercial efforts and other development programs and the availability and adequacy of coverage and reimbursement by third-party payors, including governmental and private insurers, are essential for most patients to be able to afford expensive treatments. Sales of our approved products, if any, will depend substantially, both domestically and abroad, on the extent to which the costs of our approved products, if any, will be paid for or reimbursed by health maintenance, managed care, pharmacy benefit and similar healthcare management organizations, or government payors and private payors. If coverage and reimbursement are not available, or are available only in limited amounts, we may have to subsidize or provide products for free or we may not be able to successfully commercialize our products.</w:t>
      </w:r>
    </w:p>
    <w:p>
      <w:pPr>
        <w:spacing w:after="0" w:line="195"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In addition, there is significant uncertainty related to the insurance coverage and reimbursement for newly approved products. In the United States, the principal decisions about coverage and reimbursement for new drugs are typically made by the Centers for Medicare &amp; Medicaid Services (CMS), an agency within the U.S. Department of Health and Human Services, as CMS decides whether and to what extent a new drug will be covered and reimbursed under Medicare. Private payors tend to follow the coverage reimbursement policies established by CMS to a substantial degree. It is difficult to predict what CMS will decide with respect to reimbursement for novel product candidates such as ours and what reimbursement codes our product candidates may receive if approved.</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52" w:name="page53"/>
    <w:bookmarkEnd w:id="52"/>
    <w:p>
      <w:pPr>
        <w:ind w:right="100" w:firstLine="510"/>
        <w:spacing w:after="0" w:line="255"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price-restrictive regulations, and we believe the increasing emphasis on cost-containment initiatives in Europe, Canada, and other countries has and will continue to put pressure on the pricing and usage of products. In many countries, the prices of products are subject to varying price control mechanisms as part of national health systems. Price controls or other changes in pricing regulation could restrict the amount that we are able to charge for our products, if any. Accordingly, in markets outside the United States, the potential revenue from the sale of our products may be insufficient to generate commercially reasonable revenue and profits.</w:t>
      </w:r>
    </w:p>
    <w:p>
      <w:pPr>
        <w:spacing w:after="0" w:line="192" w:lineRule="exact"/>
        <w:rPr>
          <w:sz w:val="20"/>
          <w:szCs w:val="20"/>
          <w:color w:val="auto"/>
        </w:rPr>
      </w:pPr>
    </w:p>
    <w:p>
      <w:pPr>
        <w:ind w:right="280" w:firstLine="510"/>
        <w:spacing w:after="0" w:line="273" w:lineRule="auto"/>
        <w:rPr>
          <w:sz w:val="20"/>
          <w:szCs w:val="20"/>
          <w:color w:val="auto"/>
        </w:rPr>
      </w:pPr>
      <w:r>
        <w:rPr>
          <w:rFonts w:ascii="Arial" w:cs="Arial" w:eastAsia="Arial" w:hAnsi="Arial"/>
          <w:sz w:val="17"/>
          <w:szCs w:val="17"/>
          <w:color w:val="auto"/>
        </w:rPr>
        <w:t>Moreover, increasing efforts by governmental and private payors in the United States and abroad to limit or reduce healthcare costs may result in restrictions on coverage and the level of reimbursement for new products and, as a result, they may not cover or provide adequate payment for our products. We expect to experience pricing pressures in connection with products due to the increasing trend toward managed healthcare, including the increasing influence of health maintenance organizations and additional legislative changes. The downward pressure on healthcare costs in general, particularly prescription drugs has and is expected to continue to increase in the future. As a result, profitability of our products, if any, may be more difficult to achieve even if they receive regulatory approval.</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 and Employees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failure to attract and retain senior management and key scientific personnel may prevent us from successfully developing our product candidates or any future product candidate, conducting our clinical trials and commercializing any products.</w:t>
      </w:r>
    </w:p>
    <w:p>
      <w:pPr>
        <w:spacing w:after="0" w:line="62"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Our success depends in part on our continued ability to attract, retain and motivate highly qualified management, clinical and scientific personnel. We believe that our future success is highly dependent upon the contributions of our senior management, particularly our president and chief executive officer, chief medical officer, as well as our senior scientists and other members of our senior management team. The loss of services of any of these individuals could delay or prevent the successful development of our product pipeline, completion of our planned clinical trials or the commercialization of the products we develop.</w:t>
      </w:r>
    </w:p>
    <w:p>
      <w:pPr>
        <w:spacing w:after="0" w:line="188" w:lineRule="exact"/>
        <w:rPr>
          <w:sz w:val="20"/>
          <w:szCs w:val="20"/>
          <w:color w:val="auto"/>
        </w:rPr>
      </w:pPr>
    </w:p>
    <w:p>
      <w:pPr>
        <w:ind w:right="180" w:firstLine="510"/>
        <w:spacing w:after="0" w:line="279" w:lineRule="auto"/>
        <w:rPr>
          <w:sz w:val="20"/>
          <w:szCs w:val="20"/>
          <w:color w:val="auto"/>
        </w:rPr>
      </w:pPr>
      <w:r>
        <w:rPr>
          <w:rFonts w:ascii="Arial" w:cs="Arial" w:eastAsia="Arial" w:hAnsi="Arial"/>
          <w:sz w:val="17"/>
          <w:szCs w:val="17"/>
          <w:color w:val="auto"/>
        </w:rPr>
        <w:t>Although we have not historically experienced significant difficulties attracting and retaining qualified employees, we could experience such problems in the future. For example, competition for qualified personnel in the biotechnology and pharmaceuticals field is intense due to the limited number of individuals who possess the skills and experience required by our industry. We will need to hire additional personnel as we expand our clinical development and commercial activities. We may not be able to attract and retain quality personnel on acceptable terms, or at all.</w:t>
      </w:r>
    </w:p>
    <w:p>
      <w:pPr>
        <w:spacing w:after="0" w:line="279"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Our employees, independent contractors, principal investigators, CROs, consultants and collaborators may engage in misconduct or other improper activities, including noncompliance with regulatory standards and requirements and insider trading.</w:t>
      </w:r>
    </w:p>
    <w:p>
      <w:pPr>
        <w:spacing w:after="0" w:line="38" w:lineRule="exact"/>
        <w:rPr>
          <w:sz w:val="20"/>
          <w:szCs w:val="20"/>
          <w:color w:val="auto"/>
        </w:rPr>
      </w:pPr>
    </w:p>
    <w:p>
      <w:pPr>
        <w:ind w:right="300" w:firstLine="510"/>
        <w:spacing w:after="0" w:line="291" w:lineRule="auto"/>
        <w:rPr>
          <w:sz w:val="20"/>
          <w:szCs w:val="20"/>
          <w:color w:val="auto"/>
        </w:rPr>
      </w:pPr>
      <w:r>
        <w:rPr>
          <w:rFonts w:ascii="Arial" w:cs="Arial" w:eastAsia="Arial" w:hAnsi="Arial"/>
          <w:sz w:val="16"/>
          <w:szCs w:val="16"/>
          <w:color w:val="auto"/>
        </w:rPr>
        <w:t>We are exposed to the risk that our employees, independent contractors, consultants and collaborators may engage in fraudulent conduct or other illegal activity. Misconduct by these parties could include intentional, reckless and/or negligent conduct or unauthorized activities that violate:</w:t>
      </w:r>
    </w:p>
    <w:p>
      <w:pPr>
        <w:ind w:firstLine="8"/>
        <w:spacing w:after="0" w:line="284" w:lineRule="auto"/>
        <w:tabs>
          <w:tab w:leader="none" w:pos="255"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regulations of regulatory authorities in jurisdictions where we are performing activities in relation to our product candidates, including those laws requiring the reporting of true, complete and accurate information to such authorities; (2) manufacturing regulations and standards; (3) fraud and abuse and anti-corruption laws and regulations; or (4) laws that require the reporting of true and accurate financial information and data. In particular, sales, marketing and business arrangements in the healthcare industry are subject to extensive laws and regulations intended to prevent fraud, bias, misconduct, kickbacks, self-dealing and other abusive practices, and these laws may differ substantially from country to country.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ourselves from governmental investigations or other actions or lawsuits stemming from a failure to be in compliance with such laws or regulations. If any such actions are instituted against us, and we are not successful in defending itself or asserting our rights, those actions could have a significant impact on our business including the imposition of significant civil, criminal and administrative penalties, damages, monetary fines, possible exclusion from participation in subsidized healthcare programs in a given country, contractual damages, reputational harm, diminished profits and future earnings, and curtailment of our operations, any of which could adversely affect our ability to operate our business and our results of operations.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are able to exert significant control over matters subject to stockholder approval.</w:t>
      </w:r>
    </w:p>
    <w:p>
      <w:pPr>
        <w:spacing w:after="0" w:line="62"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Based on the beneficial ownership of our common stock as of May 6, 2021, our executive officers and directors, together with holders of 5% or more of our common stock outstanding and their respective affiliates, beneficially own approximately 47.1% of our common stock. Accordingly, these stockholders have significant influence over the outcome of corporate actions requiring stockholder approval, including the election of directors, consolidation or sale of all or substantially all of our assets or any other significant corporate transaction. The interests of these stockholders may not be the same as or may even conflict with your interests. For example, these stockholders could delay or prevent a change of control, even if such a change of control would benefit our other stockholders, which could deprive our stockholders of an opportunity to receive a premium for their common stock as part of a sale of the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or securities convertible or exchangeable for our common stock may depress our stock price.</w:t>
      </w:r>
    </w:p>
    <w:p>
      <w:pPr>
        <w:spacing w:after="0" w:line="117" w:lineRule="exact"/>
        <w:rPr>
          <w:sz w:val="20"/>
          <w:szCs w:val="20"/>
          <w:color w:val="auto"/>
        </w:rPr>
      </w:pPr>
    </w:p>
    <w:p>
      <w:pPr>
        <w:ind w:right="120" w:firstLine="510"/>
        <w:spacing w:after="0" w:line="286" w:lineRule="auto"/>
        <w:rPr>
          <w:sz w:val="20"/>
          <w:szCs w:val="20"/>
          <w:color w:val="auto"/>
        </w:rPr>
      </w:pPr>
      <w:r>
        <w:rPr>
          <w:rFonts w:ascii="Arial" w:cs="Arial" w:eastAsia="Arial" w:hAnsi="Arial"/>
          <w:sz w:val="17"/>
          <w:szCs w:val="17"/>
          <w:color w:val="auto"/>
        </w:rPr>
        <w:t>If our existing stockholders or holders of our options sell, or indicate an intention to sell, substantial amounts of our common stock in the public market, the trading price of our common stock could decline. The perception in the market that these sales may occur could also cause the trading price of our common stock to decline. As of May 6, 2021, there were a total of 52,368,221 shares of our common stock outstanding.</w:t>
      </w:r>
    </w:p>
    <w:p>
      <w:pPr>
        <w:spacing w:after="0" w:line="27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62"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62" w:lineRule="exact"/>
        <w:rPr>
          <w:sz w:val="20"/>
          <w:szCs w:val="20"/>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variations in the level of our operating expenses;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receipt, modification or termination of government contracts or grants, and the timing of payments we receive under these arrangements;</w:t>
      </w:r>
    </w:p>
    <w:p>
      <w:pPr>
        <w:spacing w:after="0" w:line="140" w:lineRule="exact"/>
        <w:rPr>
          <w:rFonts w:ascii="Arial" w:cs="Arial" w:eastAsia="Arial" w:hAnsi="Arial"/>
          <w:sz w:val="16"/>
          <w:szCs w:val="16"/>
          <w:color w:val="auto"/>
        </w:rPr>
      </w:pPr>
    </w:p>
    <w:p>
      <w:pPr>
        <w:ind w:left="1000" w:right="220" w:hanging="493"/>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execution of any collaborative, licensing or similar arrangements, and the timing of payments we may make under these arrangements;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any intellectual property infringement lawsuit or opposition, interference or cancellation proceeding in which we may become involved.</w:t>
      </w:r>
    </w:p>
    <w:p>
      <w:pPr>
        <w:spacing w:after="0" w:line="237"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the company’s stock to fluctuate substantially. We believe that quarterly comparisons of our financial results are not necessarily meaningful and should not be relied upon as an indication of our future performance.</w:t>
      </w:r>
    </w:p>
    <w:p>
      <w:pPr>
        <w:spacing w:after="0" w:line="29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Provisions of our charter documents or Delaware law could delay or prevent an acquisition of us, even if the acquisition would be beneficial to our stockholders, and could make it more difficult for you to change management.</w:t>
      </w:r>
    </w:p>
    <w:p>
      <w:pPr>
        <w:spacing w:after="0" w:line="62"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Provisions in our amended and restated certificate of incorporation and our amended and restated bylaws may discourage, delay or prevent a merger, acquisition or other change in control that our stockholders may consider favorable, including transactions in which our stockholders might otherwise receive a premium for their shares. In addition, these provisions may frustrate or prevent any attempt by our stockholders to replace or remove our current management by making it more difficult to replace or remove our Board of Directors. These provisions include:</w:t>
      </w:r>
    </w:p>
    <w:p>
      <w:pPr>
        <w:spacing w:after="0" w:line="63" w:lineRule="exact"/>
        <w:rPr>
          <w:sz w:val="20"/>
          <w:szCs w:val="20"/>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classified board of directors so that not all directors are elected at one time;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prohibition on stockholder action through written consent;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 cumulative voting in the election of directors;</w:t>
      </w:r>
    </w:p>
    <w:p>
      <w:pPr>
        <w:spacing w:after="0" w:line="117" w:lineRule="exact"/>
        <w:rPr>
          <w:rFonts w:ascii="Arial" w:cs="Arial" w:eastAsia="Arial" w:hAnsi="Arial"/>
          <w:sz w:val="18"/>
          <w:szCs w:val="18"/>
          <w:color w:val="auto"/>
        </w:rPr>
      </w:pPr>
    </w:p>
    <w:p>
      <w:pPr>
        <w:ind w:left="1000" w:right="360" w:hanging="493"/>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our Board of Directors or the resignation, death or removal of a director;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54" w:name="page55"/>
    <w:bookmarkEnd w:id="54"/>
    <w:p>
      <w:pPr>
        <w:ind w:left="1000" w:right="20" w:hanging="493"/>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requirement that special meetings of our Stockholders be called only by our Board of Directors, the chairman of our Board of Directors, the chief executive officer or, in the absence of a chief executive officer, the president;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advance notice requirement for stockholder proposals and nominations;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authority of our Board of Directors to issue preferred stock with such terms as our Board of Directors may determine; and</w:t>
      </w:r>
    </w:p>
    <w:p>
      <w:pPr>
        <w:spacing w:after="0" w:line="117" w:lineRule="exact"/>
        <w:rPr>
          <w:rFonts w:ascii="Arial" w:cs="Arial" w:eastAsia="Arial" w:hAnsi="Arial"/>
          <w:sz w:val="18"/>
          <w:szCs w:val="18"/>
          <w:color w:val="auto"/>
        </w:rPr>
      </w:pPr>
    </w:p>
    <w:p>
      <w:pPr>
        <w:ind w:left="1000" w:right="400" w:hanging="493"/>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requirement of approval of not less than 66 2/3% of all outstanding shares of our capital stock entitled to vote to amend any bylaws by stockholder action, or to amend specific provisions of our certificate of incorporation.</w:t>
      </w:r>
    </w:p>
    <w:p>
      <w:pPr>
        <w:spacing w:after="0" w:line="170" w:lineRule="exact"/>
        <w:rPr>
          <w:sz w:val="20"/>
          <w:szCs w:val="20"/>
          <w:color w:val="auto"/>
        </w:rPr>
      </w:pPr>
    </w:p>
    <w:p>
      <w:pPr>
        <w:ind w:right="100" w:firstLine="510"/>
        <w:spacing w:after="0" w:line="279" w:lineRule="auto"/>
        <w:rPr>
          <w:sz w:val="20"/>
          <w:szCs w:val="20"/>
          <w:color w:val="auto"/>
        </w:rPr>
      </w:pPr>
      <w:r>
        <w:rPr>
          <w:rFonts w:ascii="Arial" w:cs="Arial" w:eastAsia="Arial" w:hAnsi="Arial"/>
          <w:sz w:val="17"/>
          <w:szCs w:val="17"/>
          <w:color w:val="auto"/>
        </w:rPr>
        <w:t>In addition, Delaware law prohibits a publicly held Delaware corporation from engaging in a business combination with an interested stockholder, generally a person who, together with its affiliates, owns or within the last three years has owned 15% or more of the company’s voting stock, for a period of three years after the date of the transaction in which the person became an interested stockholder, unless the business combination is approved in a prescribed manner. Accordingly, Delaware law may discourage, delay or prevent a change in control of the company.</w:t>
      </w:r>
    </w:p>
    <w:p>
      <w:pPr>
        <w:spacing w:after="0" w:line="171"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In addition, our amended and restated certificate of incorporation, to the fullest extent permitted by law, provides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or the DGCL, our amended and restated certificate of incorporation, or our amended and restated bylaws; or any action asserting a claim against us that is governed by the internal affairs doctrine. This exclusive forum provision does not apply to suits brought to enforce a duty or liability created by the Exchange Act. It could apply, however, to a suit that falls within one or more of the categories enumerated in the exclusive forum provision and asserts claims under the Securities Act, inasmuch as Section 22 of the Securities Act creates concurrent jurisdiction for federal and state courts over all suits brought to enforce any duty or liability created by the Securities Act or the rule and regulations thereunder. There is uncertainty as to whether a court would enforce such provision with respect to claims under the Securities Act, and our stockholders will not be deemed to have waived our compliance with the federal securities laws and the rules and regulations thereunder.</w:t>
      </w:r>
    </w:p>
    <w:p>
      <w:pPr>
        <w:spacing w:after="0" w:line="185" w:lineRule="exact"/>
        <w:rPr>
          <w:sz w:val="20"/>
          <w:szCs w:val="20"/>
          <w:color w:val="auto"/>
        </w:rPr>
      </w:pPr>
    </w:p>
    <w:p>
      <w:pPr>
        <w:ind w:right="160" w:firstLine="510"/>
        <w:spacing w:after="0" w:line="301" w:lineRule="auto"/>
        <w:rPr>
          <w:sz w:val="20"/>
          <w:szCs w:val="20"/>
          <w:color w:val="auto"/>
        </w:rPr>
      </w:pPr>
      <w:r>
        <w:rPr>
          <w:rFonts w:ascii="Arial" w:cs="Arial" w:eastAsia="Arial" w:hAnsi="Arial"/>
          <w:sz w:val="16"/>
          <w:szCs w:val="16"/>
          <w:color w:val="auto"/>
        </w:rPr>
        <w:t>This choice of forum provision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157"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Provisions in our charter and other provisions of Delaware law could limit the price that investors are willing to pay in the future for shares of our common stock.</w:t>
      </w:r>
    </w:p>
    <w:p>
      <w:pPr>
        <w:spacing w:after="0" w:line="2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do not anticipate paying any cash dividends on our common stock in the foreseeable future; therefore, capital appreciation, if any, of our common stock will be your sole source of gain for the foreseeable future.</w:t>
      </w:r>
    </w:p>
    <w:p>
      <w:pPr>
        <w:spacing w:after="0" w:line="62"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We have never declared or paid cash dividends on our common stock. We do not anticipate paying any cash dividends on our common stock in the foreseeable future. We currently intend to retain all available funds and any future earnings to fund our operations. In addition, the terms of any future debt financing arrangement may contain terms prohibiting or limiting the amount of dividends that may be declared or paid on our common stock. As a result, capital appreciation, if any, of our common stock will be your sole source of gain for the foreseeable future.</w:t>
      </w:r>
    </w:p>
    <w:p>
      <w:pPr>
        <w:spacing w:after="0" w:line="27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one or more of the analysts who cover us downgrade our common stock or publish inaccurate or unfavorable research about our business, our stock price would likely decline. In addition, if our operating results fail to meet the forecast of analysts, our stock price would likely decline. If one or more of these analysts cease coverage of us or fail to publish reports on us regularly, demand for our common stock could decrease, which might cause our stock price and trading volume to decline.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55" w:name="page56"/>
    <w:bookmarkEnd w:id="55"/>
    <w:p>
      <w:pPr>
        <w:ind w:right="580"/>
        <w:spacing w:after="0" w:line="277" w:lineRule="auto"/>
        <w:rPr>
          <w:sz w:val="20"/>
          <w:szCs w:val="20"/>
          <w:color w:val="auto"/>
        </w:rPr>
      </w:pPr>
      <w:r>
        <w:rPr>
          <w:rFonts w:ascii="Arial" w:cs="Arial" w:eastAsia="Arial" w:hAnsi="Arial"/>
          <w:sz w:val="18"/>
          <w:szCs w:val="18"/>
          <w:b w:val="1"/>
          <w:bCs w:val="1"/>
          <w:i w:val="1"/>
          <w:iCs w:val="1"/>
          <w:color w:val="auto"/>
        </w:rPr>
        <w:t>Changes in, or interpretations of, accounting rules and regulations could result in unfavorable accounting charges or require us to change our compensation policies.</w:t>
      </w:r>
    </w:p>
    <w:p>
      <w:pPr>
        <w:spacing w:after="0" w:line="62"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Accounting methods and policies for biopharmaceutical companies, including policies governing revenue recognition, research and development and related expenses and accounting for stock-based compensation, are subject to further review, interpretation and guidance from relevant accounting authorities, including the SEC. Changes to, or interpretations of, accounting methods or policies may require us to reclassify, restate or otherwise change or revise our financial statements, including those contained in this periodic report.</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Employees surrendered 15,970 shares to us, at purchase prices ranging from $3.50 to $4.12, during the three months ended March 31, 2021, for the payment of the minimum tax liability withholding obligations upon the vesting of shares of restricted stock. We do not consider this a share buyback program.</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Item 6. Exhibits.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INDEX</w:t>
      </w:r>
    </w:p>
    <w:p>
      <w:pPr>
        <w:spacing w:after="0" w:line="20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Filed</w:t>
            </w: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Incorporated by</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SEC</w:t>
            </w:r>
          </w:p>
        </w:tc>
        <w:tc>
          <w:tcPr>
            <w:tcW w:w="0" w:type="dxa"/>
            <w:vAlign w:val="bottom"/>
          </w:tcPr>
          <w:p>
            <w:pPr>
              <w:spacing w:after="0"/>
              <w:rPr>
                <w:sz w:val="1"/>
                <w:szCs w:val="1"/>
                <w:color w:val="auto"/>
              </w:rPr>
            </w:pPr>
          </w:p>
        </w:tc>
      </w:tr>
      <w:tr>
        <w:trPr>
          <w:trHeight w:val="149"/>
        </w:trPr>
        <w:tc>
          <w:tcPr>
            <w:tcW w:w="7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Reference herein</w:t>
            </w: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Filing</w:t>
            </w: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980" w:type="dxa"/>
            <w:vAlign w:val="bottom"/>
            <w:gridSpan w:val="6"/>
            <w:vMerge w:val="restart"/>
          </w:tcPr>
          <w:p>
            <w:pPr>
              <w:ind w:left="154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vMerge w:val="restart"/>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with this</w:t>
            </w: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from Form or</w:t>
            </w:r>
          </w:p>
        </w:tc>
        <w:tc>
          <w:tcPr>
            <w:tcW w:w="1160" w:type="dxa"/>
            <w:vAlign w:val="bottom"/>
            <w:gridSpan w:val="2"/>
            <w:vMerge w:val="continue"/>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File/Reg.</w:t>
            </w:r>
          </w:p>
        </w:tc>
        <w:tc>
          <w:tcPr>
            <w:tcW w:w="0" w:type="dxa"/>
            <w:vAlign w:val="bottom"/>
          </w:tcPr>
          <w:p>
            <w:pPr>
              <w:spacing w:after="0"/>
              <w:rPr>
                <w:sz w:val="1"/>
                <w:szCs w:val="1"/>
                <w:color w:val="auto"/>
              </w:rPr>
            </w:pPr>
          </w:p>
        </w:tc>
      </w:tr>
      <w:tr>
        <w:trPr>
          <w:trHeight w:val="171"/>
        </w:trPr>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980" w:type="dxa"/>
            <w:vAlign w:val="bottom"/>
            <w:tcBorders>
              <w:bottom w:val="single" w:sz="8" w:color="auto"/>
            </w:tcBorders>
            <w:gridSpan w:val="6"/>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Report</w:t>
            </w:r>
          </w:p>
        </w:tc>
        <w:tc>
          <w:tcPr>
            <w:tcW w:w="80" w:type="dxa"/>
            <w:vAlign w:val="bottom"/>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Schedule</w:t>
            </w:r>
          </w:p>
        </w:tc>
        <w:tc>
          <w:tcPr>
            <w:tcW w:w="8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r>
        <w:trPr>
          <w:trHeight w:val="398"/>
        </w:trPr>
        <w:tc>
          <w:tcPr>
            <w:tcW w:w="780" w:type="dxa"/>
            <w:vAlign w:val="bottom"/>
          </w:tcPr>
          <w:p>
            <w:pPr>
              <w:ind w:left="80"/>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24"/>
                <w:szCs w:val="24"/>
                <w:color w:val="auto"/>
              </w:rPr>
            </w:pPr>
          </w:p>
        </w:tc>
        <w:tc>
          <w:tcPr>
            <w:tcW w:w="5640" w:type="dxa"/>
            <w:vAlign w:val="bottom"/>
            <w:tcBorders>
              <w:bottom w:val="single" w:sz="8" w:color="0000EE"/>
            </w:tcBorders>
            <w:gridSpan w:val="7"/>
          </w:tcPr>
          <w:p>
            <w:pPr>
              <w:spacing w:after="0"/>
              <w:rPr>
                <w:rFonts w:ascii="Arial" w:cs="Arial" w:eastAsia="Arial" w:hAnsi="Arial"/>
                <w:sz w:val="16"/>
                <w:szCs w:val="16"/>
                <w:color w:val="0000EE"/>
                <w:w w:val="93"/>
              </w:rPr>
            </w:pPr>
            <w:hyperlink w:anchor="page59">
              <w:r>
                <w:rPr>
                  <w:rFonts w:ascii="Arial" w:cs="Arial" w:eastAsia="Arial" w:hAnsi="Arial"/>
                  <w:sz w:val="16"/>
                  <w:szCs w:val="16"/>
                  <w:color w:val="0000EE"/>
                  <w:w w:val="93"/>
                </w:rPr>
                <w:t>Certification of Chief Executive Officer required by Rule 13a-14(a) or Rule 15d-14(a).</w:t>
              </w:r>
            </w:hyperlink>
          </w:p>
        </w:tc>
        <w:tc>
          <w:tcPr>
            <w:tcW w:w="120" w:type="dxa"/>
            <w:vAlign w:val="bottom"/>
            <w:gridSpan w:val="2"/>
          </w:tcPr>
          <w:p>
            <w:pPr>
              <w:spacing w:after="0"/>
              <w:rPr>
                <w:sz w:val="24"/>
                <w:szCs w:val="2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6"/>
                <w:szCs w:val="16"/>
                <w:color w:val="auto"/>
              </w:rPr>
              <w:t>X</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780" w:type="dxa"/>
            <w:vAlign w:val="bottom"/>
          </w:tcPr>
          <w:p>
            <w:pPr>
              <w:ind w:left="80"/>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24"/>
                <w:szCs w:val="24"/>
                <w:color w:val="auto"/>
              </w:rPr>
            </w:pPr>
          </w:p>
        </w:tc>
        <w:tc>
          <w:tcPr>
            <w:tcW w:w="5760" w:type="dxa"/>
            <w:vAlign w:val="bottom"/>
            <w:gridSpan w:val="9"/>
          </w:tcPr>
          <w:p>
            <w:pPr>
              <w:spacing w:after="0"/>
              <w:rPr>
                <w:rFonts w:ascii="Arial" w:cs="Arial" w:eastAsia="Arial" w:hAnsi="Arial"/>
                <w:sz w:val="16"/>
                <w:szCs w:val="16"/>
                <w:color w:val="0000EE"/>
              </w:rPr>
            </w:pPr>
            <w:hyperlink w:anchor="page60">
              <w:r>
                <w:rPr>
                  <w:rFonts w:ascii="Arial" w:cs="Arial" w:eastAsia="Arial" w:hAnsi="Arial"/>
                  <w:sz w:val="16"/>
                  <w:szCs w:val="16"/>
                  <w:color w:val="0000EE"/>
                </w:rPr>
                <w:t>Certification of Interim Chief Financial Officer required by Rule 13a-14(a) or Rule</w:t>
              </w:r>
            </w:hyperlink>
          </w:p>
        </w:tc>
        <w:tc>
          <w:tcPr>
            <w:tcW w:w="840" w:type="dxa"/>
            <w:vAlign w:val="bottom"/>
            <w:gridSpan w:val="2"/>
          </w:tcPr>
          <w:p>
            <w:pPr>
              <w:jc w:val="center"/>
              <w:ind w:right="80"/>
              <w:spacing w:after="0"/>
              <w:rPr>
                <w:sz w:val="20"/>
                <w:szCs w:val="20"/>
                <w:color w:val="auto"/>
              </w:rPr>
            </w:pPr>
            <w:r>
              <w:rPr>
                <w:rFonts w:ascii="Arial" w:cs="Arial" w:eastAsia="Arial" w:hAnsi="Arial"/>
                <w:sz w:val="16"/>
                <w:szCs w:val="16"/>
                <w:color w:val="auto"/>
              </w:rPr>
              <w:t>X</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380" w:type="dxa"/>
            <w:vAlign w:val="bottom"/>
            <w:tcBorders>
              <w:top w:val="single" w:sz="8" w:color="0000EE"/>
            </w:tcBorders>
            <w:gridSpan w:val="6"/>
          </w:tcPr>
          <w:p>
            <w:pPr>
              <w:spacing w:after="0" w:line="183" w:lineRule="exact"/>
              <w:rPr>
                <w:rFonts w:ascii="Arial" w:cs="Arial" w:eastAsia="Arial" w:hAnsi="Arial"/>
                <w:sz w:val="16"/>
                <w:szCs w:val="16"/>
                <w:color w:val="0000EE"/>
              </w:rPr>
            </w:pPr>
            <w:hyperlink w:anchor="page60">
              <w:r>
                <w:rPr>
                  <w:rFonts w:ascii="Arial" w:cs="Arial" w:eastAsia="Arial" w:hAnsi="Arial"/>
                  <w:sz w:val="16"/>
                  <w:szCs w:val="16"/>
                  <w:color w:val="0000EE"/>
                </w:rPr>
                <w:t>15d-14(a).</w:t>
              </w:r>
            </w:hyperlink>
          </w:p>
        </w:tc>
        <w:tc>
          <w:tcPr>
            <w:tcW w:w="380" w:type="dxa"/>
            <w:vAlign w:val="bottom"/>
            <w:gridSpan w:val="3"/>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80" w:type="dxa"/>
            <w:vAlign w:val="bottom"/>
          </w:tcPr>
          <w:p>
            <w:pPr>
              <w:ind w:left="80"/>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24"/>
                <w:szCs w:val="24"/>
                <w:color w:val="auto"/>
              </w:rPr>
            </w:pPr>
          </w:p>
        </w:tc>
        <w:tc>
          <w:tcPr>
            <w:tcW w:w="5200" w:type="dxa"/>
            <w:vAlign w:val="bottom"/>
            <w:tcBorders>
              <w:bottom w:val="single" w:sz="8" w:color="0000EE"/>
            </w:tcBorders>
            <w:gridSpan w:val="5"/>
          </w:tcPr>
          <w:p>
            <w:pPr>
              <w:spacing w:after="0"/>
              <w:rPr>
                <w:rFonts w:ascii="Arial" w:cs="Arial" w:eastAsia="Arial" w:hAnsi="Arial"/>
                <w:sz w:val="16"/>
                <w:szCs w:val="16"/>
                <w:color w:val="0000EE"/>
                <w:w w:val="93"/>
              </w:rPr>
            </w:pPr>
            <w:hyperlink w:anchor="page61">
              <w:r>
                <w:rPr>
                  <w:rFonts w:ascii="Arial" w:cs="Arial" w:eastAsia="Arial" w:hAnsi="Arial"/>
                  <w:sz w:val="16"/>
                  <w:szCs w:val="16"/>
                  <w:color w:val="0000EE"/>
                  <w:w w:val="93"/>
                </w:rPr>
                <w:t>Certification required by Rule 13a-14(b) or Rule 15d-14(b) and Section 1350 of</w:t>
              </w:r>
            </w:hyperlink>
          </w:p>
        </w:tc>
        <w:tc>
          <w:tcPr>
            <w:tcW w:w="560" w:type="dxa"/>
            <w:vAlign w:val="bottom"/>
            <w:gridSpan w:val="4"/>
          </w:tcPr>
          <w:p>
            <w:pPr>
              <w:spacing w:after="0"/>
              <w:rPr>
                <w:sz w:val="24"/>
                <w:szCs w:val="2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6"/>
                <w:szCs w:val="16"/>
                <w:color w:val="auto"/>
              </w:rPr>
              <w:t>X</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20" w:type="dxa"/>
            <w:vAlign w:val="bottom"/>
            <w:tcBorders>
              <w:bottom w:val="single" w:sz="8" w:color="0000EE"/>
            </w:tcBorders>
            <w:gridSpan w:val="3"/>
          </w:tcPr>
          <w:p>
            <w:pPr>
              <w:spacing w:after="0" w:line="183" w:lineRule="exact"/>
              <w:rPr>
                <w:rFonts w:ascii="Arial" w:cs="Arial" w:eastAsia="Arial" w:hAnsi="Arial"/>
                <w:sz w:val="16"/>
                <w:szCs w:val="16"/>
                <w:color w:val="0000EE"/>
                <w:w w:val="91"/>
              </w:rPr>
            </w:pPr>
            <w:hyperlink w:anchor="page61">
              <w:r>
                <w:rPr>
                  <w:rFonts w:ascii="Arial" w:cs="Arial" w:eastAsia="Arial" w:hAnsi="Arial"/>
                  <w:sz w:val="16"/>
                  <w:szCs w:val="16"/>
                  <w:color w:val="0000EE"/>
                  <w:w w:val="91"/>
                </w:rPr>
                <w:t>Chapter 63 of Title 18 of the United States Code (18 U.S.C. §1350).</w:t>
              </w:r>
            </w:hyperlink>
          </w:p>
        </w:tc>
        <w:tc>
          <w:tcPr>
            <w:tcW w:w="1340" w:type="dxa"/>
            <w:vAlign w:val="bottom"/>
            <w:gridSpan w:val="6"/>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780" w:type="dxa"/>
            <w:vAlign w:val="bottom"/>
          </w:tcPr>
          <w:p>
            <w:pPr>
              <w:ind w:left="80"/>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24"/>
                <w:szCs w:val="24"/>
                <w:color w:val="auto"/>
              </w:rPr>
            </w:pPr>
          </w:p>
        </w:tc>
        <w:tc>
          <w:tcPr>
            <w:tcW w:w="5760" w:type="dxa"/>
            <w:vAlign w:val="bottom"/>
            <w:gridSpan w:val="9"/>
          </w:tcPr>
          <w:p>
            <w:pPr>
              <w:spacing w:after="0"/>
              <w:rPr>
                <w:rFonts w:ascii="Arial" w:cs="Arial" w:eastAsia="Arial" w:hAnsi="Arial"/>
                <w:sz w:val="16"/>
                <w:szCs w:val="16"/>
                <w:color w:val="0000EE"/>
              </w:rPr>
            </w:pPr>
            <w:hyperlink w:anchor="page62">
              <w:r>
                <w:rPr>
                  <w:rFonts w:ascii="Arial" w:cs="Arial" w:eastAsia="Arial" w:hAnsi="Arial"/>
                  <w:sz w:val="16"/>
                  <w:szCs w:val="16"/>
                  <w:color w:val="0000EE"/>
                </w:rPr>
                <w:t>Certification required by Rule 13a-14(b) or Rule 15d-14(b) and Section 1350 of</w:t>
              </w:r>
            </w:hyperlink>
          </w:p>
        </w:tc>
        <w:tc>
          <w:tcPr>
            <w:tcW w:w="840" w:type="dxa"/>
            <w:vAlign w:val="bottom"/>
            <w:gridSpan w:val="2"/>
          </w:tcPr>
          <w:p>
            <w:pPr>
              <w:jc w:val="center"/>
              <w:ind w:right="80"/>
              <w:spacing w:after="0"/>
              <w:rPr>
                <w:sz w:val="20"/>
                <w:szCs w:val="20"/>
                <w:color w:val="auto"/>
              </w:rPr>
            </w:pPr>
            <w:r>
              <w:rPr>
                <w:rFonts w:ascii="Arial" w:cs="Arial" w:eastAsia="Arial" w:hAnsi="Arial"/>
                <w:sz w:val="16"/>
                <w:szCs w:val="16"/>
                <w:color w:val="auto"/>
              </w:rPr>
              <w:t>X</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20" w:type="dxa"/>
            <w:vAlign w:val="bottom"/>
            <w:tcBorders>
              <w:top w:val="single" w:sz="8" w:color="0000EE"/>
              <w:bottom w:val="single" w:sz="8" w:color="0000EE"/>
            </w:tcBorders>
            <w:gridSpan w:val="3"/>
          </w:tcPr>
          <w:p>
            <w:pPr>
              <w:spacing w:after="0" w:line="183" w:lineRule="exact"/>
              <w:rPr>
                <w:rFonts w:ascii="Arial" w:cs="Arial" w:eastAsia="Arial" w:hAnsi="Arial"/>
                <w:sz w:val="16"/>
                <w:szCs w:val="16"/>
                <w:color w:val="0000EE"/>
                <w:w w:val="91"/>
              </w:rPr>
            </w:pPr>
            <w:hyperlink w:anchor="page62">
              <w:r>
                <w:rPr>
                  <w:rFonts w:ascii="Arial" w:cs="Arial" w:eastAsia="Arial" w:hAnsi="Arial"/>
                  <w:sz w:val="16"/>
                  <w:szCs w:val="16"/>
                  <w:color w:val="0000EE"/>
                  <w:w w:val="91"/>
                </w:rPr>
                <w:t>Chapter 63 of Title 18 of the United States Code (18 U.S.C. §1350).</w:t>
              </w:r>
            </w:hyperlink>
          </w:p>
        </w:tc>
        <w:tc>
          <w:tcPr>
            <w:tcW w:w="760" w:type="dxa"/>
            <w:vAlign w:val="bottom"/>
            <w:tcBorders>
              <w:top w:val="single" w:sz="8" w:color="0000EE"/>
            </w:tcBorders>
          </w:tcPr>
          <w:p>
            <w:pPr>
              <w:spacing w:after="0"/>
              <w:rPr>
                <w:sz w:val="15"/>
                <w:szCs w:val="15"/>
                <w:color w:val="auto"/>
              </w:rPr>
            </w:pPr>
          </w:p>
        </w:tc>
        <w:tc>
          <w:tcPr>
            <w:tcW w:w="580" w:type="dxa"/>
            <w:vAlign w:val="bottom"/>
            <w:gridSpan w:val="5"/>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6"/>
        </w:trPr>
        <w:tc>
          <w:tcPr>
            <w:tcW w:w="780" w:type="dxa"/>
            <w:vAlign w:val="bottom"/>
          </w:tcPr>
          <w:p>
            <w:pPr>
              <w:spacing w:after="0"/>
              <w:rPr>
                <w:sz w:val="20"/>
                <w:szCs w:val="20"/>
                <w:color w:val="auto"/>
              </w:rPr>
            </w:pPr>
            <w:r>
              <w:rPr>
                <w:rFonts w:ascii="Arial" w:cs="Arial" w:eastAsia="Arial" w:hAnsi="Arial"/>
                <w:sz w:val="16"/>
                <w:szCs w:val="16"/>
                <w:color w:val="auto"/>
              </w:rPr>
              <w:t>101.INS</w:t>
            </w:r>
          </w:p>
        </w:tc>
        <w:tc>
          <w:tcPr>
            <w:tcW w:w="100" w:type="dxa"/>
            <w:vAlign w:val="bottom"/>
          </w:tcPr>
          <w:p>
            <w:pPr>
              <w:spacing w:after="0"/>
              <w:rPr>
                <w:sz w:val="24"/>
                <w:szCs w:val="24"/>
                <w:color w:val="auto"/>
              </w:rPr>
            </w:pPr>
          </w:p>
        </w:tc>
        <w:tc>
          <w:tcPr>
            <w:tcW w:w="5760" w:type="dxa"/>
            <w:vAlign w:val="bottom"/>
            <w:gridSpan w:val="9"/>
          </w:tcPr>
          <w:p>
            <w:pPr>
              <w:spacing w:after="0"/>
              <w:rPr>
                <w:sz w:val="20"/>
                <w:szCs w:val="20"/>
                <w:color w:val="auto"/>
              </w:rPr>
            </w:pPr>
            <w:r>
              <w:rPr>
                <w:rFonts w:ascii="Arial" w:cs="Arial" w:eastAsia="Arial" w:hAnsi="Arial"/>
                <w:sz w:val="16"/>
                <w:szCs w:val="16"/>
                <w:color w:val="auto"/>
              </w:rPr>
              <w:t>Inline XBRL Instance Document – the instance document does not appear in the</w:t>
            </w:r>
          </w:p>
        </w:tc>
        <w:tc>
          <w:tcPr>
            <w:tcW w:w="840" w:type="dxa"/>
            <w:vAlign w:val="bottom"/>
            <w:gridSpan w:val="2"/>
          </w:tcPr>
          <w:p>
            <w:pPr>
              <w:jc w:val="center"/>
              <w:ind w:right="80"/>
              <w:spacing w:after="0"/>
              <w:rPr>
                <w:sz w:val="20"/>
                <w:szCs w:val="20"/>
                <w:color w:val="auto"/>
              </w:rPr>
            </w:pPr>
            <w:r>
              <w:rPr>
                <w:rFonts w:ascii="Arial" w:cs="Arial" w:eastAsia="Arial" w:hAnsi="Arial"/>
                <w:sz w:val="16"/>
                <w:szCs w:val="16"/>
                <w:color w:val="auto"/>
              </w:rPr>
              <w:t>X</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60" w:type="dxa"/>
            <w:vAlign w:val="bottom"/>
            <w:gridSpan w:val="9"/>
          </w:tcPr>
          <w:p>
            <w:pPr>
              <w:spacing w:after="0"/>
              <w:rPr>
                <w:sz w:val="20"/>
                <w:szCs w:val="20"/>
                <w:color w:val="auto"/>
              </w:rPr>
            </w:pPr>
            <w:r>
              <w:rPr>
                <w:rFonts w:ascii="Arial" w:cs="Arial" w:eastAsia="Arial" w:hAnsi="Arial"/>
                <w:sz w:val="16"/>
                <w:szCs w:val="16"/>
                <w:color w:val="auto"/>
              </w:rPr>
              <w:t>Interactive Date File because XBRL tags are embedded within the Inline XBRL</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60" w:type="dxa"/>
            <w:vAlign w:val="bottom"/>
            <w:gridSpan w:val="9"/>
          </w:tcPr>
          <w:p>
            <w:pPr>
              <w:spacing w:after="0"/>
              <w:rPr>
                <w:sz w:val="20"/>
                <w:szCs w:val="20"/>
                <w:color w:val="auto"/>
              </w:rPr>
            </w:pPr>
            <w:r>
              <w:rPr>
                <w:rFonts w:ascii="Arial" w:cs="Arial" w:eastAsia="Arial" w:hAnsi="Arial"/>
                <w:sz w:val="16"/>
                <w:szCs w:val="16"/>
                <w:color w:val="auto"/>
              </w:rPr>
              <w:t>document.</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780" w:type="dxa"/>
            <w:vAlign w:val="bottom"/>
          </w:tcPr>
          <w:p>
            <w:pPr>
              <w:spacing w:after="0"/>
              <w:rPr>
                <w:sz w:val="20"/>
                <w:szCs w:val="20"/>
                <w:color w:val="auto"/>
              </w:rPr>
            </w:pPr>
            <w:r>
              <w:rPr>
                <w:rFonts w:ascii="Arial" w:cs="Arial" w:eastAsia="Arial" w:hAnsi="Arial"/>
                <w:sz w:val="16"/>
                <w:szCs w:val="16"/>
                <w:color w:val="auto"/>
              </w:rPr>
              <w:t>101.SCH</w:t>
            </w:r>
          </w:p>
        </w:tc>
        <w:tc>
          <w:tcPr>
            <w:tcW w:w="100" w:type="dxa"/>
            <w:vAlign w:val="bottom"/>
          </w:tcPr>
          <w:p>
            <w:pPr>
              <w:spacing w:after="0"/>
              <w:rPr>
                <w:sz w:val="24"/>
                <w:szCs w:val="24"/>
                <w:color w:val="auto"/>
              </w:rPr>
            </w:pPr>
          </w:p>
        </w:tc>
        <w:tc>
          <w:tcPr>
            <w:tcW w:w="5760" w:type="dxa"/>
            <w:vAlign w:val="bottom"/>
            <w:gridSpan w:val="9"/>
          </w:tcPr>
          <w:p>
            <w:pPr>
              <w:spacing w:after="0"/>
              <w:rPr>
                <w:sz w:val="20"/>
                <w:szCs w:val="20"/>
                <w:color w:val="auto"/>
              </w:rPr>
            </w:pPr>
            <w:r>
              <w:rPr>
                <w:rFonts w:ascii="Arial" w:cs="Arial" w:eastAsia="Arial" w:hAnsi="Arial"/>
                <w:sz w:val="16"/>
                <w:szCs w:val="16"/>
                <w:color w:val="auto"/>
              </w:rPr>
              <w:t>Inline XBRL Taxonomy Extension Schema Document</w:t>
            </w:r>
          </w:p>
        </w:tc>
        <w:tc>
          <w:tcPr>
            <w:tcW w:w="840" w:type="dxa"/>
            <w:vAlign w:val="bottom"/>
            <w:gridSpan w:val="2"/>
          </w:tcPr>
          <w:p>
            <w:pPr>
              <w:jc w:val="center"/>
              <w:ind w:right="80"/>
              <w:spacing w:after="0"/>
              <w:rPr>
                <w:sz w:val="20"/>
                <w:szCs w:val="20"/>
                <w:color w:val="auto"/>
              </w:rPr>
            </w:pPr>
            <w:r>
              <w:rPr>
                <w:rFonts w:ascii="Arial" w:cs="Arial" w:eastAsia="Arial" w:hAnsi="Arial"/>
                <w:sz w:val="16"/>
                <w:szCs w:val="16"/>
                <w:color w:val="auto"/>
              </w:rPr>
              <w:t>X</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80" w:type="dxa"/>
            <w:vAlign w:val="bottom"/>
          </w:tcPr>
          <w:p>
            <w:pPr>
              <w:spacing w:after="0"/>
              <w:rPr>
                <w:sz w:val="20"/>
                <w:szCs w:val="20"/>
                <w:color w:val="auto"/>
              </w:rPr>
            </w:pPr>
            <w:r>
              <w:rPr>
                <w:rFonts w:ascii="Arial" w:cs="Arial" w:eastAsia="Arial" w:hAnsi="Arial"/>
                <w:sz w:val="16"/>
                <w:szCs w:val="16"/>
                <w:color w:val="auto"/>
              </w:rPr>
              <w:t>101.CAL</w:t>
            </w:r>
          </w:p>
        </w:tc>
        <w:tc>
          <w:tcPr>
            <w:tcW w:w="100" w:type="dxa"/>
            <w:vAlign w:val="bottom"/>
          </w:tcPr>
          <w:p>
            <w:pPr>
              <w:spacing w:after="0"/>
              <w:rPr>
                <w:sz w:val="24"/>
                <w:szCs w:val="24"/>
                <w:color w:val="auto"/>
              </w:rPr>
            </w:pPr>
          </w:p>
        </w:tc>
        <w:tc>
          <w:tcPr>
            <w:tcW w:w="5760" w:type="dxa"/>
            <w:vAlign w:val="bottom"/>
            <w:gridSpan w:val="9"/>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840" w:type="dxa"/>
            <w:vAlign w:val="bottom"/>
            <w:gridSpan w:val="2"/>
          </w:tcPr>
          <w:p>
            <w:pPr>
              <w:jc w:val="center"/>
              <w:ind w:right="80"/>
              <w:spacing w:after="0"/>
              <w:rPr>
                <w:sz w:val="20"/>
                <w:szCs w:val="20"/>
                <w:color w:val="auto"/>
              </w:rPr>
            </w:pPr>
            <w:r>
              <w:rPr>
                <w:rFonts w:ascii="Arial" w:cs="Arial" w:eastAsia="Arial" w:hAnsi="Arial"/>
                <w:sz w:val="16"/>
                <w:szCs w:val="16"/>
                <w:color w:val="auto"/>
              </w:rPr>
              <w:t>X</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80" w:type="dxa"/>
            <w:vAlign w:val="bottom"/>
          </w:tcPr>
          <w:p>
            <w:pPr>
              <w:spacing w:after="0"/>
              <w:rPr>
                <w:sz w:val="20"/>
                <w:szCs w:val="20"/>
                <w:color w:val="auto"/>
              </w:rPr>
            </w:pPr>
            <w:r>
              <w:rPr>
                <w:rFonts w:ascii="Arial" w:cs="Arial" w:eastAsia="Arial" w:hAnsi="Arial"/>
                <w:sz w:val="16"/>
                <w:szCs w:val="16"/>
                <w:color w:val="auto"/>
              </w:rPr>
              <w:t>101.DEF</w:t>
            </w:r>
          </w:p>
        </w:tc>
        <w:tc>
          <w:tcPr>
            <w:tcW w:w="100" w:type="dxa"/>
            <w:vAlign w:val="bottom"/>
          </w:tcPr>
          <w:p>
            <w:pPr>
              <w:spacing w:after="0"/>
              <w:rPr>
                <w:sz w:val="24"/>
                <w:szCs w:val="24"/>
                <w:color w:val="auto"/>
              </w:rPr>
            </w:pPr>
          </w:p>
        </w:tc>
        <w:tc>
          <w:tcPr>
            <w:tcW w:w="5760" w:type="dxa"/>
            <w:vAlign w:val="bottom"/>
            <w:gridSpan w:val="9"/>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840" w:type="dxa"/>
            <w:vAlign w:val="bottom"/>
            <w:gridSpan w:val="2"/>
          </w:tcPr>
          <w:p>
            <w:pPr>
              <w:jc w:val="center"/>
              <w:ind w:right="80"/>
              <w:spacing w:after="0"/>
              <w:rPr>
                <w:sz w:val="20"/>
                <w:szCs w:val="20"/>
                <w:color w:val="auto"/>
              </w:rPr>
            </w:pPr>
            <w:r>
              <w:rPr>
                <w:rFonts w:ascii="Arial" w:cs="Arial" w:eastAsia="Arial" w:hAnsi="Arial"/>
                <w:sz w:val="16"/>
                <w:szCs w:val="16"/>
                <w:color w:val="auto"/>
              </w:rPr>
              <w:t>X</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80" w:type="dxa"/>
            <w:vAlign w:val="bottom"/>
          </w:tcPr>
          <w:p>
            <w:pPr>
              <w:spacing w:after="0"/>
              <w:rPr>
                <w:sz w:val="20"/>
                <w:szCs w:val="20"/>
                <w:color w:val="auto"/>
              </w:rPr>
            </w:pPr>
            <w:r>
              <w:rPr>
                <w:rFonts w:ascii="Arial" w:cs="Arial" w:eastAsia="Arial" w:hAnsi="Arial"/>
                <w:sz w:val="16"/>
                <w:szCs w:val="16"/>
                <w:color w:val="auto"/>
              </w:rPr>
              <w:t>101.LAB</w:t>
            </w:r>
          </w:p>
        </w:tc>
        <w:tc>
          <w:tcPr>
            <w:tcW w:w="100" w:type="dxa"/>
            <w:vAlign w:val="bottom"/>
          </w:tcPr>
          <w:p>
            <w:pPr>
              <w:spacing w:after="0"/>
              <w:rPr>
                <w:sz w:val="24"/>
                <w:szCs w:val="24"/>
                <w:color w:val="auto"/>
              </w:rPr>
            </w:pPr>
          </w:p>
        </w:tc>
        <w:tc>
          <w:tcPr>
            <w:tcW w:w="5760" w:type="dxa"/>
            <w:vAlign w:val="bottom"/>
            <w:gridSpan w:val="9"/>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840" w:type="dxa"/>
            <w:vAlign w:val="bottom"/>
            <w:gridSpan w:val="2"/>
          </w:tcPr>
          <w:p>
            <w:pPr>
              <w:jc w:val="center"/>
              <w:ind w:right="80"/>
              <w:spacing w:after="0"/>
              <w:rPr>
                <w:sz w:val="20"/>
                <w:szCs w:val="20"/>
                <w:color w:val="auto"/>
              </w:rPr>
            </w:pPr>
            <w:r>
              <w:rPr>
                <w:rFonts w:ascii="Arial" w:cs="Arial" w:eastAsia="Arial" w:hAnsi="Arial"/>
                <w:sz w:val="16"/>
                <w:szCs w:val="16"/>
                <w:color w:val="auto"/>
              </w:rPr>
              <w:t>X</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80" w:type="dxa"/>
            <w:vAlign w:val="bottom"/>
          </w:tcPr>
          <w:p>
            <w:pPr>
              <w:spacing w:after="0"/>
              <w:rPr>
                <w:sz w:val="20"/>
                <w:szCs w:val="20"/>
                <w:color w:val="auto"/>
              </w:rPr>
            </w:pPr>
            <w:r>
              <w:rPr>
                <w:rFonts w:ascii="Arial" w:cs="Arial" w:eastAsia="Arial" w:hAnsi="Arial"/>
                <w:sz w:val="16"/>
                <w:szCs w:val="16"/>
                <w:color w:val="auto"/>
              </w:rPr>
              <w:t>101.PRE</w:t>
            </w:r>
          </w:p>
        </w:tc>
        <w:tc>
          <w:tcPr>
            <w:tcW w:w="100" w:type="dxa"/>
            <w:vAlign w:val="bottom"/>
          </w:tcPr>
          <w:p>
            <w:pPr>
              <w:spacing w:after="0"/>
              <w:rPr>
                <w:sz w:val="24"/>
                <w:szCs w:val="24"/>
                <w:color w:val="auto"/>
              </w:rPr>
            </w:pPr>
          </w:p>
        </w:tc>
        <w:tc>
          <w:tcPr>
            <w:tcW w:w="5760" w:type="dxa"/>
            <w:vAlign w:val="bottom"/>
            <w:gridSpan w:val="9"/>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840" w:type="dxa"/>
            <w:vAlign w:val="bottom"/>
            <w:gridSpan w:val="2"/>
          </w:tcPr>
          <w:p>
            <w:pPr>
              <w:jc w:val="center"/>
              <w:ind w:right="80"/>
              <w:spacing w:after="0"/>
              <w:rPr>
                <w:sz w:val="20"/>
                <w:szCs w:val="20"/>
                <w:color w:val="auto"/>
              </w:rPr>
            </w:pPr>
            <w:r>
              <w:rPr>
                <w:rFonts w:ascii="Arial" w:cs="Arial" w:eastAsia="Arial" w:hAnsi="Arial"/>
                <w:sz w:val="16"/>
                <w:szCs w:val="16"/>
                <w:color w:val="auto"/>
              </w:rPr>
              <w:t>X</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80" w:type="dxa"/>
            <w:vAlign w:val="bottom"/>
          </w:tcPr>
          <w:p>
            <w:pPr>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4"/>
                <w:szCs w:val="24"/>
                <w:color w:val="auto"/>
              </w:rPr>
            </w:pPr>
          </w:p>
        </w:tc>
        <w:tc>
          <w:tcPr>
            <w:tcW w:w="5760" w:type="dxa"/>
            <w:vAlign w:val="bottom"/>
            <w:gridSpan w:val="9"/>
          </w:tcPr>
          <w:p>
            <w:pPr>
              <w:spacing w:after="0"/>
              <w:rPr>
                <w:sz w:val="20"/>
                <w:szCs w:val="20"/>
                <w:color w:val="auto"/>
              </w:rPr>
            </w:pPr>
            <w:r>
              <w:rPr>
                <w:rFonts w:ascii="Arial" w:cs="Arial" w:eastAsia="Arial" w:hAnsi="Arial"/>
                <w:sz w:val="16"/>
                <w:szCs w:val="16"/>
                <w:color w:val="auto"/>
              </w:rPr>
              <w:t>Cover Page Interactive Data File (embedded within the Inline XBRL document)</w:t>
            </w:r>
          </w:p>
        </w:tc>
        <w:tc>
          <w:tcPr>
            <w:tcW w:w="840" w:type="dxa"/>
            <w:vAlign w:val="bottom"/>
            <w:gridSpan w:val="2"/>
          </w:tcPr>
          <w:p>
            <w:pPr>
              <w:jc w:val="center"/>
              <w:ind w:right="80"/>
              <w:spacing w:after="0"/>
              <w:rPr>
                <w:sz w:val="20"/>
                <w:szCs w:val="20"/>
                <w:color w:val="auto"/>
              </w:rPr>
            </w:pPr>
            <w:r>
              <w:rPr>
                <w:rFonts w:ascii="Arial" w:cs="Arial" w:eastAsia="Arial" w:hAnsi="Arial"/>
                <w:sz w:val="16"/>
                <w:szCs w:val="16"/>
                <w:color w:val="auto"/>
              </w:rPr>
              <w:t>X</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95123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500" w:right="20" w:hanging="492"/>
        <w:spacing w:after="0" w:line="273" w:lineRule="auto"/>
        <w:tabs>
          <w:tab w:leader="none" w:pos="5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certifications attached as Exhibit 32.1 and Exhibit 32.2 that accompany this Quarterly Report on Form 10-Q are not deemed filed with the Securities and Exchange Commission and are not to be incorporated by reference into any filing of Synlogic, Inc. under the Securities Act of 1933, as amended, or the Securities Exchange Act of 1934, as amended (whether made before or after the date of such Form 10-Q), irrespective of any general incorporation language contained in such filing.</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57" w:name="page58"/>
    <w:bookmarkEnd w:id="57"/>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13, 2021</w:t>
      </w:r>
    </w:p>
    <w:p>
      <w:pPr>
        <w:spacing w:after="0" w:line="225"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SYNLOGIC, INC.</w:t>
      </w:r>
    </w:p>
    <w:p>
      <w:pPr>
        <w:spacing w:after="0" w:line="252"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By:  /s/ AOIFE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Aoife Brennan</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Executive Officer)</w:t>
      </w:r>
    </w:p>
    <w:p>
      <w:pPr>
        <w:spacing w:after="0" w:line="22"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By:  /s/ GREGG BELOFF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Gregg Beloff</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Interim Chief Financial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6"/>
          <w:szCs w:val="16"/>
          <w:color w:val="auto"/>
        </w:rPr>
        <w:t>(Principal Financial Officer and Principal Accounting</w:t>
      </w:r>
    </w:p>
    <w:p>
      <w:pPr>
        <w:spacing w:after="0" w:line="32"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80"/>
          </w:cols>
          <w:pgMar w:left="320" w:top="580" w:right="39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RULES 13a-14(a) OR 15d-14(a)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Aoife Brennan, certify that:</w:t>
      </w:r>
    </w:p>
    <w:p>
      <w:pPr>
        <w:spacing w:after="0" w:line="225" w:lineRule="exact"/>
        <w:rPr>
          <w:sz w:val="20"/>
          <w:szCs w:val="20"/>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Synlogic, Inc. (the “registrant”);</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2"/>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40" w:right="320" w:hanging="573"/>
        <w:spacing w:after="0" w:line="263" w:lineRule="auto"/>
        <w:tabs>
          <w:tab w:leader="none" w:pos="10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2"/>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2"/>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000" w:right="740" w:hanging="493"/>
        <w:spacing w:after="0" w:line="342" w:lineRule="auto"/>
        <w:tabs>
          <w:tab w:leader="none" w:pos="1000" w:val="left"/>
        </w:tabs>
        <w:numPr>
          <w:ilvl w:val="2"/>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2"/>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13,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AOIFE BRENNAN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Aoife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351"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RULES 13a-14(a) OR 15d-14(a)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Gregg Beloff, certify that:</w:t>
      </w:r>
    </w:p>
    <w:p>
      <w:pPr>
        <w:spacing w:after="0" w:line="225" w:lineRule="exact"/>
        <w:rPr>
          <w:sz w:val="20"/>
          <w:szCs w:val="20"/>
          <w:color w:val="auto"/>
        </w:rPr>
      </w:pPr>
    </w:p>
    <w:p>
      <w:pPr>
        <w:ind w:left="500" w:hanging="492"/>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Synlogic, Inc. (the “registrant”);</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2"/>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40" w:right="320" w:hanging="573"/>
        <w:spacing w:after="0" w:line="263" w:lineRule="auto"/>
        <w:tabs>
          <w:tab w:leader="none" w:pos="10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2"/>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2"/>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000" w:right="740" w:hanging="493"/>
        <w:spacing w:after="0" w:line="342" w:lineRule="auto"/>
        <w:tabs>
          <w:tab w:leader="none" w:pos="1000" w:val="left"/>
        </w:tabs>
        <w:numPr>
          <w:ilvl w:val="2"/>
          <w:numId w:val="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2"/>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13,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GREGG BELOFF</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Gregg Beloff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ectPr>
          <w:pgSz w:w="11900" w:h="16838" w:orient="portrait"/>
          <w:cols w:equalWidth="0" w:num="1">
            <w:col w:w="11240"/>
          </w:cols>
          <w:pgMar w:left="320" w:top="351"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firstLine="510"/>
        <w:spacing w:after="0" w:line="311" w:lineRule="auto"/>
        <w:rPr>
          <w:sz w:val="20"/>
          <w:szCs w:val="20"/>
          <w:color w:val="auto"/>
        </w:rPr>
      </w:pPr>
      <w:r>
        <w:rPr>
          <w:rFonts w:ascii="Arial" w:cs="Arial" w:eastAsia="Arial" w:hAnsi="Arial"/>
          <w:sz w:val="16"/>
          <w:szCs w:val="16"/>
          <w:color w:val="auto"/>
        </w:rPr>
        <w:t>In connection with the Quarterly Report of Synlogic, Inc. (the “Company”) on Form 10-Q for the period ended March 31, 2021 as filed with the Securities and Exchange Commission on the date hereof (the “Report”), I, Aoife Brennan, President and Chief Executive Officer of the Company, certify, pursuant to 18 U.S.C. Section 1350, as adopted pursuant to Section 906 of the Sarbanes-Oxley Act of 2002, to my knowledge that:</w:t>
      </w:r>
    </w:p>
    <w:p>
      <w:pPr>
        <w:spacing w:after="0" w:line="41" w:lineRule="exact"/>
        <w:rPr>
          <w:sz w:val="20"/>
          <w:szCs w:val="20"/>
          <w:color w:val="auto"/>
        </w:rPr>
      </w:pPr>
    </w:p>
    <w:p>
      <w:pPr>
        <w:ind w:left="1000" w:hanging="493"/>
        <w:spacing w:after="0"/>
        <w:tabs>
          <w:tab w:leader="none" w:pos="10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left="1000" w:right="560" w:hanging="493"/>
        <w:spacing w:after="0" w:line="277"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 AOIFE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886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Aoife Brennan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May 13, 2021</w:t>
      </w:r>
    </w:p>
    <w:p>
      <w:pPr>
        <w:spacing w:after="0" w:line="117"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10"/>
        <w:spacing w:after="0" w:line="286" w:lineRule="auto"/>
        <w:rPr>
          <w:sz w:val="20"/>
          <w:szCs w:val="20"/>
          <w:color w:val="auto"/>
        </w:rPr>
      </w:pPr>
      <w:r>
        <w:rPr>
          <w:rFonts w:ascii="Arial" w:cs="Arial" w:eastAsia="Arial" w:hAnsi="Arial"/>
          <w:sz w:val="17"/>
          <w:szCs w:val="17"/>
          <w:color w:val="auto"/>
        </w:rPr>
        <w:t>In connection with the Quarterly Report of Synlogic, Inc. (the “Company”) on Form 10-Q for the period ended March 31, 2021 as filed with the Securities and Exchange Commission on the date hereof (the “Report”), I, Gregg Beloff, Interim Chief Financial Officer of the Company, certify, pursuant to 18 U.S.C. Section 1350, as adopted pursuant to Section 906 of the Sarbanes-Oxley Act of 2002, to my knowledge that:</w:t>
      </w:r>
    </w:p>
    <w:p>
      <w:pPr>
        <w:spacing w:after="0" w:line="57" w:lineRule="exact"/>
        <w:rPr>
          <w:sz w:val="20"/>
          <w:szCs w:val="20"/>
          <w:color w:val="auto"/>
        </w:rPr>
      </w:pPr>
    </w:p>
    <w:p>
      <w:pPr>
        <w:ind w:left="1000" w:hanging="493"/>
        <w:spacing w:after="0"/>
        <w:tabs>
          <w:tab w:leader="none" w:pos="10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left="1000" w:right="560" w:hanging="493"/>
        <w:spacing w:after="0" w:line="277"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 GREGG BELOFF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886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Gregg Beloff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May 13, 2021</w:t>
      </w:r>
    </w:p>
    <w:p>
      <w:pPr>
        <w:spacing w:after="0" w:line="117"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1)"/>
      <w:numFmt w:val="decimal"/>
      <w:start w:val="2"/>
    </w:lvl>
  </w:abstractNum>
  <w:abstractNum w:abstractNumId="4">
    <w:nsid w:val="2901D82"/>
    <w:multiLevelType w:val="hybridMultilevel"/>
    <w:lvl w:ilvl="0">
      <w:lvlJc w:val="left"/>
      <w:lvlText w:val="(%1)"/>
      <w:numFmt w:val="decimal"/>
      <w:start w:val="3"/>
    </w:lvl>
  </w:abstractNum>
  <w:abstractNum w:abstractNumId="5">
    <w:nsid w:val="3A95F874"/>
    <w:multiLevelType w:val="hybridMultilevel"/>
    <w:lvl w:ilvl="0">
      <w:lvlJc w:val="left"/>
      <w:lvlText w:val="(%1)"/>
      <w:numFmt w:val="decimal"/>
      <w:start w:val="4"/>
    </w:lvl>
  </w:abstractNum>
  <w:abstractNum w:abstractNumId="6">
    <w:nsid w:val="8138641"/>
    <w:multiLevelType w:val="hybridMultilevel"/>
    <w:lvl w:ilvl="0">
      <w:lvlJc w:val="left"/>
      <w:lvlText w:val="(%1)"/>
      <w:numFmt w:val="decimal"/>
      <w:start w:val="5"/>
    </w:lvl>
  </w:abstractNum>
  <w:abstractNum w:abstractNumId="7">
    <w:nsid w:val="1E7FF521"/>
    <w:multiLevelType w:val="hybridMultilevel"/>
    <w:lvl w:ilvl="0">
      <w:lvlJc w:val="left"/>
      <w:lvlText w:val="(%1)"/>
      <w:numFmt w:val="decimal"/>
      <w:start w:val="6"/>
    </w:lvl>
  </w:abstractNum>
  <w:abstractNum w:abstractNumId="8">
    <w:nsid w:val="7C3DBD3D"/>
    <w:multiLevelType w:val="hybridMultilevel"/>
    <w:lvl w:ilvl="0">
      <w:lvlJc w:val="left"/>
      <w:lvlText w:val="(%1)"/>
      <w:numFmt w:val="decimal"/>
      <w:start w:val="7"/>
    </w:lvl>
  </w:abstractNum>
  <w:abstractNum w:abstractNumId="9">
    <w:nsid w:val="737B8DDC"/>
    <w:multiLevelType w:val="hybridMultilevel"/>
    <w:lvl w:ilvl="0">
      <w:lvlJc w:val="left"/>
      <w:lvlText w:val="(%1)"/>
      <w:numFmt w:val="decimal"/>
      <w:start w:val="8"/>
    </w:lvl>
  </w:abstractNum>
  <w:abstractNum w:abstractNumId="10">
    <w:nsid w:val="6CEAF087"/>
    <w:multiLevelType w:val="hybridMultilevel"/>
    <w:lvl w:ilvl="0">
      <w:lvlJc w:val="left"/>
      <w:lvlText w:val="(%1)"/>
      <w:numFmt w:val="lowerLetter"/>
      <w:start w:val="1"/>
    </w:lvl>
  </w:abstractNum>
  <w:abstractNum w:abstractNumId="11">
    <w:nsid w:val="22221A70"/>
    <w:multiLevelType w:val="hybridMultilevel"/>
    <w:lvl w:ilvl="0">
      <w:lvlJc w:val="left"/>
      <w:lvlText w:val="(%1)"/>
      <w:numFmt w:val="decimal"/>
      <w:start w:val="9"/>
    </w:lvl>
  </w:abstractNum>
  <w:abstractNum w:abstractNumId="12">
    <w:nsid w:val="4516DDE9"/>
    <w:multiLevelType w:val="hybridMultilevel"/>
    <w:lvl w:ilvl="0">
      <w:lvlJc w:val="left"/>
      <w:lvlText w:val="(%1)"/>
      <w:numFmt w:val="decimal"/>
      <w:start w:val="10"/>
    </w:lvl>
  </w:abstractNum>
  <w:abstractNum w:abstractNumId="13">
    <w:nsid w:val="3006C83E"/>
    <w:multiLevelType w:val="hybridMultilevel"/>
    <w:lvl w:ilvl="0">
      <w:lvlJc w:val="left"/>
      <w:lvlText w:val="(%1)"/>
      <w:numFmt w:val="decimal"/>
      <w:start w:val="11"/>
    </w:lvl>
  </w:abstractNum>
  <w:abstractNum w:abstractNumId="14">
    <w:nsid w:val="614FD4A1"/>
    <w:multiLevelType w:val="hybridMultilevel"/>
    <w:lvl w:ilvl="0">
      <w:lvlJc w:val="left"/>
      <w:lvlText w:val="(%1)"/>
      <w:numFmt w:val="decimal"/>
      <w:start w:val="12"/>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1."/>
      <w:numFmt w:val="upperLetter"/>
      <w:start w:val="17"/>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1)"/>
      <w:numFmt w:val="decimal"/>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6">
    <w:nsid w:val="749ABB4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47">
    <w:nsid w:val="3DC240FB"/>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48">
    <w:nsid w:val="1BA026F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9">
    <w:nsid w:val="79A1DEA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50">
    <w:nsid w:val="75C6C33A"/>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2021-05-13T05:29:55Z</dcterms:created>
  <dcterms:modified xsi:type="dcterms:W3CDTF">2021-05-13T05:29:55Z</dcterms:modified>
</cp:coreProperties>
</file>