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New Enterprise Associates 14,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1954 GREENSPRING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TIMONIUM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SYNLOGIC, INC.</w:t>
              </w:r>
            </w:hyperlink>
            <w:r>
              <w:rPr/>
              <w:t xml:space="preserve"> [ </w:t>
            </w:r>
            <w:r>
              <w:rPr>
                <w:rFonts w:ascii="Times;serif" w:hAnsi="Times;serif"/>
                <w:color w:val="0000FF"/>
                <w:sz w:val="24"/>
                <w:shd w:fill="FFFFFF" w:val="clear"/>
              </w:rPr>
              <w:t>SYBX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3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966"/>
        <w:gridCol w:w="906"/>
        <w:gridCol w:w="801"/>
        <w:gridCol w:w="891"/>
        <w:gridCol w:w="1101"/>
        <w:gridCol w:w="801"/>
        <w:gridCol w:w="966"/>
        <w:gridCol w:w="831"/>
        <w:gridCol w:w="846"/>
      </w:tblGrid>
      <w:tr>
        <w:trPr>
          <w:tblHeader w:val="true"/>
        </w:trPr>
        <w:tc>
          <w:tcPr>
            <w:tcW w:w="133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H</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2,640,845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2,640,845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2,640,845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2,640,845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2,640,845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New Enterprise Associates 14,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1954 GREENSPRING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TIMONIUM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NEA Partners 14,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1954 GREENSPRING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TIMONIUM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NEA 14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1954 GREENSPRING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TIMONIUM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Florence Anthony A.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5TH AVE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SANDELL SCOTT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1954 GREENSPRING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TIMONIUM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Makhzoumi Mohamad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SAND HILL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warrants were immediately exercisable; provided, however, that the warrants carry a limitation on exercise preventing exercise if such exercise results in New Enterprise Associates 14, L.P. ("NEA 14") beneficially owning in excess of 4.99% (or, at the election of NEA 14, 9.99%) of the number of shares of the Issuer's Common Stock, which percentage can be increased or decreased at the option of NEA 14 upon 61 days' prior notice.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two transactions reported in Table II above involved the amendment of an outstanding warrant to reduce the exercise price from $3.408 a share to $0.70 a share. The amendment is reported above as the cancellation of the old warrant and the acquisition of a new one.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directly held by NEA 14 and are indirectly held by NEA Partners 14, L.P. ("NEA Partners 14"), the sole general partner of NEA 14, NEA 14 GP, LTD ("NEA 14 LTD"), the sole general partner of NEA Partners 14, and the members of the Executive Committee (the "Executive Committee") of NEA Management Company, LLC (NEA Partners 14, NEA 14 LTD and the members of the Executive Committee together, the "Indirect Reporting Persons"). The members of the Executive Committee are Anthony A. Florence, Jr., Mohamad H. Makhzoumi, and Scott D. Sandell. The Indirect Reporting Persons disclaim beneficial ownership within the meaning of Section 16 of the Securities Exchange Act of 1934, as amended, or otherwise of such portion of the securities held by NEA 14 in which the Indirect Reporting Persons have no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Bambach,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4328" TargetMode="External"/><Relationship Id="rId5" Type="http://schemas.openxmlformats.org/officeDocument/2006/relationships/hyperlink" Target="http://www.sec.gov/cgi-bin/browse-edgar?action=getcompany&amp;CIK=00015275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544328" TargetMode="External"/><Relationship Id="rId10" Type="http://schemas.openxmlformats.org/officeDocument/2006/relationships/hyperlink" Target="http://www.sec.gov/cgi-bin/browse-edgar?action=getcompany&amp;CIK=0001551531" TargetMode="External"/><Relationship Id="rId11" Type="http://schemas.openxmlformats.org/officeDocument/2006/relationships/hyperlink" Target="http://www.sec.gov/cgi-bin/browse-edgar?action=getcompany&amp;CIK=0001551532" TargetMode="External"/><Relationship Id="rId12" Type="http://schemas.openxmlformats.org/officeDocument/2006/relationships/hyperlink" Target="http://www.sec.gov/cgi-bin/browse-edgar?action=getcompany&amp;CIK=0001559827" TargetMode="External"/><Relationship Id="rId13" Type="http://schemas.openxmlformats.org/officeDocument/2006/relationships/hyperlink" Target="http://www.sec.gov/cgi-bin/browse-edgar?action=getcompany&amp;CIK=0001237289" TargetMode="External"/><Relationship Id="rId14" Type="http://schemas.openxmlformats.org/officeDocument/2006/relationships/hyperlink" Target="http://www.sec.gov/cgi-bin/browse-edgar?action=getcompany&amp;CIK=0001630226"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998</Words>
  <Characters>5330</Characters>
  <CharactersWithSpaces>6160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