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65405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2080" w:hanging="3912"/>
        <w:spacing w:after="0" w:line="303" w:lineRule="auto"/>
        <w:tabs>
          <w:tab w:leader="none" w:pos="36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520"/>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ectPr>
          <w:pgSz w:w="11900" w:h="16838" w:orient="portrait"/>
          <w:cols w:equalWidth="0" w:num="1">
            <w:col w:w="11240"/>
          </w:cols>
          <w:pgMar w:left="320" w:top="1105" w:right="339" w:bottom="1440" w:gutter="0" w:footer="0" w:header="0"/>
        </w:sectPr>
      </w:pPr>
    </w:p>
    <w:p>
      <w:pPr>
        <w:spacing w:after="0" w:line="3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36"/>
          <w:szCs w:val="36"/>
          <w:b w:val="1"/>
          <w:bCs w:val="1"/>
          <w:color w:val="auto"/>
        </w:rPr>
        <w:t>SYNLOGIC, INC.</w:t>
      </w:r>
    </w:p>
    <w:p>
      <w:pPr>
        <w:spacing w:after="0" w:line="4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4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26-1824804</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7" w:lineRule="exact"/>
        <w:rPr>
          <w:sz w:val="24"/>
          <w:szCs w:val="24"/>
          <w:color w:val="auto"/>
        </w:rPr>
      </w:pPr>
    </w:p>
    <w:p>
      <w:pPr>
        <w:sectPr>
          <w:pgSz w:w="11900" w:h="16838" w:orient="portrait"/>
          <w:cols w:equalWidth="0" w:num="2">
            <w:col w:w="7240" w:space="700"/>
            <w:col w:w="3300"/>
          </w:cols>
          <w:pgMar w:left="320" w:top="1105" w:right="339" w:bottom="1440" w:gutter="0" w:footer="0" w:header="0"/>
          <w:type w:val="continuous"/>
        </w:sectPr>
      </w:pPr>
    </w:p>
    <w:tbl>
      <w:tblPr>
        <w:tblLayout w:type="fixed"/>
        <w:tblInd w:w="10" w:type="dxa"/>
        <w:tblCellMar>
          <w:top w:w="0" w:type="dxa"/>
          <w:left w:w="0" w:type="dxa"/>
          <w:bottom w:w="0" w:type="dxa"/>
          <w:right w:w="0" w:type="dxa"/>
        </w:tblCellMar>
      </w:tblPr>
      <w:tr>
        <w:trPr>
          <w:trHeight w:val="203"/>
        </w:trPr>
        <w:tc>
          <w:tcPr>
            <w:tcW w:w="6440" w:type="dxa"/>
            <w:vAlign w:val="bottom"/>
            <w:gridSpan w:val="4"/>
          </w:tcPr>
          <w:p>
            <w:pPr>
              <w:jc w:val="center"/>
              <w:ind w:right="722"/>
              <w:spacing w:after="0"/>
              <w:rPr>
                <w:sz w:val="20"/>
                <w:szCs w:val="20"/>
                <w:color w:val="auto"/>
              </w:rPr>
            </w:pPr>
            <w:r>
              <w:rPr>
                <w:rFonts w:ascii="Times New Roman" w:cs="Times New Roman" w:eastAsia="Times New Roman" w:hAnsi="Times New Roman"/>
                <w:sz w:val="16"/>
                <w:szCs w:val="16"/>
                <w:b w:val="1"/>
                <w:bCs w:val="1"/>
                <w:color w:val="auto"/>
              </w:rPr>
              <w:t>301 Binney St., Suite 402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00" w:type="dxa"/>
            <w:vAlign w:val="bottom"/>
          </w:tcPr>
          <w:p>
            <w:pPr>
              <w:jc w:val="center"/>
              <w:ind w:left="2005"/>
              <w:spacing w:after="0"/>
              <w:rPr>
                <w:sz w:val="20"/>
                <w:szCs w:val="20"/>
                <w:color w:val="auto"/>
              </w:rPr>
            </w:pPr>
            <w:r>
              <w:rPr>
                <w:rFonts w:ascii="Times New Roman" w:cs="Times New Roman" w:eastAsia="Times New Roman" w:hAnsi="Times New Roman"/>
                <w:sz w:val="16"/>
                <w:szCs w:val="16"/>
                <w:b w:val="1"/>
                <w:bCs w:val="1"/>
                <w:color w:val="auto"/>
              </w:rPr>
              <w:t>Cambridge, MA</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60" w:type="dxa"/>
            <w:vAlign w:val="bottom"/>
            <w:gridSpan w:val="2"/>
          </w:tcPr>
          <w:p>
            <w:pPr>
              <w:jc w:val="right"/>
              <w:ind w:right="2525"/>
              <w:spacing w:after="0"/>
              <w:rPr>
                <w:sz w:val="20"/>
                <w:szCs w:val="20"/>
                <w:color w:val="auto"/>
              </w:rPr>
            </w:pPr>
            <w:r>
              <w:rPr>
                <w:rFonts w:ascii="Times New Roman" w:cs="Times New Roman" w:eastAsia="Times New Roman" w:hAnsi="Times New Roman"/>
                <w:sz w:val="16"/>
                <w:szCs w:val="16"/>
                <w:b w:val="1"/>
                <w:bCs w:val="1"/>
                <w:color w:val="auto"/>
              </w:rPr>
              <w:t>02142</w:t>
            </w:r>
          </w:p>
        </w:tc>
        <w:tc>
          <w:tcPr>
            <w:tcW w:w="0" w:type="dxa"/>
            <w:vAlign w:val="bottom"/>
          </w:tcPr>
          <w:p>
            <w:pPr>
              <w:spacing w:after="0"/>
              <w:rPr>
                <w:sz w:val="1"/>
                <w:szCs w:val="1"/>
                <w:color w:val="auto"/>
              </w:rPr>
            </w:pPr>
          </w:p>
        </w:tc>
      </w:tr>
      <w:tr>
        <w:trPr>
          <w:trHeight w:val="179"/>
        </w:trPr>
        <w:tc>
          <w:tcPr>
            <w:tcW w:w="6440" w:type="dxa"/>
            <w:vAlign w:val="bottom"/>
            <w:gridSpan w:val="4"/>
          </w:tcPr>
          <w:p>
            <w:pPr>
              <w:jc w:val="center"/>
              <w:ind w:right="72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40" w:type="dxa"/>
            <w:vAlign w:val="bottom"/>
          </w:tcPr>
          <w:p>
            <w:pPr>
              <w:jc w:val="center"/>
              <w:ind w:right="1805"/>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53"/>
        </w:trPr>
        <w:tc>
          <w:tcPr>
            <w:tcW w:w="3500" w:type="dxa"/>
            <w:vAlign w:val="bottom"/>
          </w:tcPr>
          <w:p>
            <w:pPr>
              <w:spacing w:after="0"/>
              <w:rPr>
                <w:sz w:val="22"/>
                <w:szCs w:val="22"/>
                <w:color w:val="auto"/>
              </w:rPr>
            </w:pPr>
          </w:p>
        </w:tc>
        <w:tc>
          <w:tcPr>
            <w:tcW w:w="2940" w:type="dxa"/>
            <w:vAlign w:val="bottom"/>
            <w:gridSpan w:val="3"/>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(617) 401-9975</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80" w:type="dxa"/>
            <w:vAlign w:val="bottom"/>
            <w:gridSpan w:val="6"/>
          </w:tcPr>
          <w:p>
            <w:pPr>
              <w:jc w:val="center"/>
              <w:ind w:right="366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392"/>
        </w:trPr>
        <w:tc>
          <w:tcPr>
            <w:tcW w:w="3500" w:type="dxa"/>
            <w:vAlign w:val="bottom"/>
          </w:tcPr>
          <w:p>
            <w:pPr>
              <w:spacing w:after="0"/>
              <w:rPr>
                <w:sz w:val="24"/>
                <w:szCs w:val="24"/>
                <w:color w:val="auto"/>
              </w:rPr>
            </w:pPr>
          </w:p>
        </w:tc>
        <w:tc>
          <w:tcPr>
            <w:tcW w:w="7740" w:type="dxa"/>
            <w:vAlign w:val="bottom"/>
            <w:gridSpan w:val="7"/>
          </w:tcPr>
          <w:p>
            <w:pPr>
              <w:jc w:val="center"/>
              <w:ind w:right="342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44"/>
        </w:trPr>
        <w:tc>
          <w:tcPr>
            <w:tcW w:w="3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500" w:type="dxa"/>
            <w:vAlign w:val="bottom"/>
            <w:tcBorders>
              <w:left w:val="single" w:sz="8" w:color="auto"/>
              <w:bottom w:val="single" w:sz="8" w:color="auto"/>
            </w:tcBorders>
          </w:tcPr>
          <w:p>
            <w:pPr>
              <w:jc w:val="center"/>
              <w:ind w:left="185"/>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6"/>
                <w:szCs w:val="16"/>
                <w:color w:val="auto"/>
              </w:rPr>
              <w:t>Trading Symbol</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exchange on which registered</w:t>
            </w:r>
          </w:p>
        </w:tc>
        <w:tc>
          <w:tcPr>
            <w:tcW w:w="0" w:type="dxa"/>
            <w:vAlign w:val="bottom"/>
          </w:tcPr>
          <w:p>
            <w:pPr>
              <w:spacing w:after="0"/>
              <w:rPr>
                <w:sz w:val="1"/>
                <w:szCs w:val="1"/>
                <w:color w:val="auto"/>
              </w:rPr>
            </w:pPr>
          </w:p>
        </w:tc>
      </w:tr>
      <w:tr>
        <w:trPr>
          <w:trHeight w:val="203"/>
        </w:trPr>
        <w:tc>
          <w:tcPr>
            <w:tcW w:w="3500" w:type="dxa"/>
            <w:vAlign w:val="bottom"/>
            <w:tcBorders>
              <w:left w:val="single" w:sz="8" w:color="auto"/>
              <w:bottom w:val="single" w:sz="8" w:color="auto"/>
            </w:tcBorders>
          </w:tcPr>
          <w:p>
            <w:pPr>
              <w:jc w:val="center"/>
              <w:ind w:left="185"/>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6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rPr>
              <w:t>SYBX</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r>
        <w:trPr>
          <w:trHeight w:val="313"/>
        </w:trPr>
        <w:tc>
          <w:tcPr>
            <w:tcW w:w="3500" w:type="dxa"/>
            <w:vAlign w:val="bottom"/>
          </w:tcPr>
          <w:p>
            <w:pPr>
              <w:spacing w:after="0"/>
              <w:rPr>
                <w:sz w:val="24"/>
                <w:szCs w:val="24"/>
                <w:color w:val="auto"/>
              </w:rPr>
            </w:pPr>
          </w:p>
        </w:tc>
        <w:tc>
          <w:tcPr>
            <w:tcW w:w="7740" w:type="dxa"/>
            <w:vAlign w:val="bottom"/>
            <w:gridSpan w:val="7"/>
          </w:tcPr>
          <w:p>
            <w:pPr>
              <w:jc w:val="center"/>
              <w:ind w:right="342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4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None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500" w:type="dxa"/>
            <w:vAlign w:val="bottom"/>
            <w:gridSpan w:val="3"/>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40" w:type="dxa"/>
            <w:vAlign w:val="bottom"/>
            <w:vMerge w:val="restart"/>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4260" w:type="dxa"/>
            <w:vAlign w:val="bottom"/>
            <w:gridSpan w:val="2"/>
            <w:vMerge w:val="restart"/>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66"/>
        </w:trPr>
        <w:tc>
          <w:tcPr>
            <w:tcW w:w="6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YES</w:t>
            </w:r>
          </w:p>
        </w:tc>
        <w:tc>
          <w:tcPr>
            <w:tcW w:w="240" w:type="dxa"/>
            <w:vAlign w:val="bottom"/>
            <w:vMerge w:val="continue"/>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15(d) of the Act.  YES</w:t>
            </w:r>
          </w:p>
        </w:tc>
        <w:tc>
          <w:tcPr>
            <w:tcW w:w="30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NO</w:t>
            </w:r>
          </w:p>
        </w:tc>
        <w:tc>
          <w:tcPr>
            <w:tcW w:w="4260" w:type="dxa"/>
            <w:vAlign w:val="bottom"/>
            <w:gridSpan w:val="2"/>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right="160"/>
        <w:spacing w:after="0" w:line="166" w:lineRule="exact"/>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3"/>
          <w:szCs w:val="13"/>
          <w:color w:val="auto"/>
        </w:rPr>
        <w:t>ndicate by check mark whether the registrant: (1) has filed all reports required to be filed by Section 13 or 15(d) of the Securities Exchange Act of 1934 during the preceding 12 months (or for such shorter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 xml:space="preserve">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8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2"/>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3"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260" w:val="left"/>
          <w:tab w:leader="none" w:pos="68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ind w:right="200"/>
        <w:spacing w:after="0" w:line="255" w:lineRule="auto"/>
        <w:rPr>
          <w:sz w:val="20"/>
          <w:szCs w:val="20"/>
          <w:color w:val="auto"/>
        </w:rPr>
      </w:pPr>
      <w:r>
        <w:rPr>
          <w:rFonts w:ascii="Times New Roman" w:cs="Times New Roman" w:eastAsia="Times New Roman" w:hAnsi="Times New Roman"/>
          <w:sz w:val="13"/>
          <w:szCs w:val="13"/>
          <w:color w:val="auto"/>
        </w:rPr>
        <w:t>The aggregate market value of common stock held by non-affiliates of the registrant as of June 30, 2023, the last business day of the registrant’s most recently completed second quarter, was $23.6 million, computed based on the closing price of $6.45 per share on June 30, 2023.</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12, 2024 there were 11,646,977 shares of the registrant’s common stock, par value $0.001 per share, outstanding.</w:t>
      </w:r>
    </w:p>
    <w:p>
      <w:pPr>
        <w:spacing w:after="0" w:line="4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0" w:lineRule="exact"/>
        <w:rPr>
          <w:sz w:val="24"/>
          <w:szCs w:val="24"/>
          <w:color w:val="auto"/>
        </w:rPr>
      </w:pPr>
    </w:p>
    <w:p>
      <w:pPr>
        <w:ind w:right="280"/>
        <w:spacing w:after="0" w:line="252" w:lineRule="auto"/>
        <w:rPr>
          <w:sz w:val="20"/>
          <w:szCs w:val="20"/>
          <w:color w:val="auto"/>
        </w:rPr>
      </w:pPr>
      <w:r>
        <w:rPr>
          <w:rFonts w:ascii="Times New Roman" w:cs="Times New Roman" w:eastAsia="Times New Roman" w:hAnsi="Times New Roman"/>
          <w:sz w:val="13"/>
          <w:szCs w:val="13"/>
          <w:color w:val="auto"/>
        </w:rPr>
        <w:t>The following documents (or parts thereof) are incorporated by reference into the following parts of this Form 10-K: Certain information required in Part III of this Annual Report on Form 10-K is incorporated from the registrant’s definitive proxy statement for the 2023 annual meeting of stockholders to be filed pursuant to Regulation 14A with the Securities and Exchange Commission within 120 days of the registrant’s fiscal year ended December 31, 2023.</w:t>
      </w:r>
    </w:p>
    <w:p>
      <w:pPr>
        <w:ind w:left="100"/>
        <w:spacing w:after="0"/>
        <w:tabs>
          <w:tab w:leader="none" w:pos="1480" w:val="left"/>
          <w:tab w:leader="none" w:pos="3360" w:val="left"/>
          <w:tab w:leader="none" w:pos="4720" w:val="left"/>
          <w:tab w:leader="none" w:pos="6980" w:val="left"/>
          <w:tab w:leader="none" w:pos="846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185</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KPMG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3"/>
          <w:szCs w:val="13"/>
          <w:color w:val="auto"/>
        </w:rPr>
        <w:t>Boston, Massachusetts,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0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44"/>
        </w:trPr>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50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45"/>
        </w:trPr>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4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5"/>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75" w:lineRule="exact"/>
        <w:rPr>
          <w:sz w:val="20"/>
          <w:szCs w:val="20"/>
          <w:color w:val="auto"/>
        </w:rPr>
      </w:pPr>
    </w:p>
    <w:p>
      <w:pPr>
        <w:ind w:left="1340" w:right="360" w:hanging="373"/>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strategic alternatives with a goal to enhance stockholder value, including the possibility of a merger or a sale of the Company;</w:t>
      </w:r>
    </w:p>
    <w:p>
      <w:pPr>
        <w:spacing w:after="0" w:line="53"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third parties;</w:t>
      </w:r>
    </w:p>
    <w:p>
      <w:pPr>
        <w:spacing w:after="0" w:line="117" w:lineRule="exact"/>
        <w:rPr>
          <w:rFonts w:ascii="Times New Roman" w:cs="Times New Roman" w:eastAsia="Times New Roman" w:hAnsi="Times New Roman"/>
          <w:sz w:val="18"/>
          <w:szCs w:val="18"/>
          <w:color w:val="auto"/>
        </w:rPr>
      </w:pPr>
    </w:p>
    <w:p>
      <w:pPr>
        <w:ind w:left="1340" w:right="320" w:hanging="373"/>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in manufacturing products, as well as agreements with third-party manufacturers;</w:t>
      </w:r>
    </w:p>
    <w:p>
      <w:pPr>
        <w:spacing w:after="0" w:line="53"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 if approved;</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 if approved;</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340" w:right="200" w:hanging="373"/>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3" w:lineRule="exact"/>
        <w:rPr>
          <w:rFonts w:ascii="Times New Roman" w:cs="Times New Roman" w:eastAsia="Times New Roman" w:hAnsi="Times New Roman"/>
          <w:sz w:val="18"/>
          <w:szCs w:val="18"/>
          <w:color w:val="auto"/>
        </w:rPr>
      </w:pPr>
    </w:p>
    <w:p>
      <w:pPr>
        <w:ind w:left="1340" w:right="640" w:hanging="373"/>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(COVID-19) or by other health epidemics or pandemics; and</w:t>
      </w:r>
    </w:p>
    <w:p>
      <w:pPr>
        <w:spacing w:after="0" w:line="53"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w:t>
      </w:r>
    </w:p>
    <w:p>
      <w:pPr>
        <w:spacing w:after="0" w:line="26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advancing novel therapeutics to transform the care of serious diseases. We focus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We will now work with the Synpheny-3 clinical trial sites involved to implement the discontinuation. As a result, our current corporate strategy is focused on pursuing strategic initiatives to enhance stockholder value,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w:t>
      </w:r>
    </w:p>
    <w:p>
      <w:pPr>
        <w:spacing w:after="0" w:line="23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Our early-stage pipeline includes product candidates for enteric hyperoxaluria, gout, and cystinuria, and has been fueled by a reproducible,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approach that creates GI-restricted, oral medicines with new enzymatic pathways designed to consume or produce specific biological targets.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design, develop and manufacture these drug candidates, which are produced by applying genetic engineering to well-characterized probiotics.</w:t>
      </w:r>
    </w:p>
    <w:p>
      <w:pPr>
        <w:spacing w:after="0" w:line="274" w:lineRule="exact"/>
        <w:rPr>
          <w:sz w:val="20"/>
          <w:szCs w:val="20"/>
          <w:color w:val="auto"/>
        </w:rPr>
      </w:pPr>
    </w:p>
    <w:p>
      <w:pPr>
        <w:ind w:right="60" w:firstLine="554"/>
        <w:spacing w:after="0" w:line="255" w:lineRule="auto"/>
        <w:rPr>
          <w:sz w:val="20"/>
          <w:szCs w:val="20"/>
          <w:color w:val="auto"/>
        </w:rPr>
      </w:pPr>
      <w:r>
        <w:rPr>
          <w:rFonts w:ascii="Times New Roman" w:cs="Times New Roman" w:eastAsia="Times New Roman" w:hAnsi="Times New Roman"/>
          <w:sz w:val="18"/>
          <w:szCs w:val="18"/>
          <w:color w:val="auto"/>
        </w:rPr>
        <w:t>Our drug candidates are designed through precise engineering to target validated biological pathways in the pathophysiology of a given disease. By using a probiotic to deliver these new enzymatic pathways, the activity is restricted to the gastrointestinal (GI) tract, avoiding systemic exposure and associated risks that limit the success of other modalities. Our pipeline programs are all based on the same probiotic Escherichia coli Nissle 1917, which provides synergies across programs, as well as more than one hundred years of human dosing experience. Our drug candidates are engineered to be non-colonizing, and fully reversible via GI clearance. These potential biopharmaceuticals are all orally administered, conducive to straightforward shipping, distribution and storage. For manufacturing, our platform leverages processes with familiar foundations, including fermentation and lyophilization, facilitating process design and scale-up, combined with unique and proprietary innovations tailored to our unique products.</w:t>
      </w:r>
    </w:p>
    <w:p>
      <w:pPr>
        <w:spacing w:after="0" w:line="256"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Since our founding, based upon technology from the Massachusetts Institute of Technology (MIT) in 2014, we have progressed a pipeline of multiple drug candidates across different stages, including:</w:t>
      </w:r>
    </w:p>
    <w:p>
      <w:pPr>
        <w:spacing w:after="0" w:line="54"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Labafenogene marselecobac (SYNB1934), which was being studied in Synpheny-3, a pivotal, Phase 3 study for the treatment of patients with PKU;</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SYNB1353, a potential treatment for HCU, has achieved proof of mechanism in a Phase 1 study in healthy volunteers;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research activities on a potential drug candidate for cystinuria, a rare, genetic cause of recurrent kidney stones which is also caused by an underlying metabolic disorder;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SYNB2081, a drug candidate for gout which is in IND-enabling studies;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research focused on novel, locally-acting, GI-restricted biotherapeutics for indications in inflammatory bowel disease (IBD).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announced in February 2024, our current corporate strategy is focused on pursuing strategic initiatives to enhance stockholder value, including by exploring a range of alternatives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made the decision to discontinue Synpheny-3, our pivotal study of our lead product candidate, labafenogene marselecobac (SYNB1934), as a potential treatment for PKU. Historically, our mission was to treat diseases underserved by other modalities by researching, developing and commercializing new medicines.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Synthetic Biotics in Clinical Development</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product pipeline consists of drug candidates targeting significant medical needs caused by an underlying metabolic disorder. These include labafenogene marselecobac, which was being evaluated in a pivotal, Phase 3 study in PKU, and drug candidates designed to treat HCU, enteric hyperoxaluria, and gout. Our preclinical work includes additional metabolic disease research, including cystinuria, target exploration, and focused research efforts in IBD.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125730</wp:posOffset>
            </wp:positionV>
            <wp:extent cx="6172200" cy="2794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Pipeline: Focus on Rare Metabolic Diseases</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Rare metabolic diseases often result from inherited defects or alterations in specific enzymes or other biological pathways that normally break down or produce important metabolites or molecules. In patients with these diseases, the absence or impairment of certain enzymes causes potentially toxic metabolites to accumulate. In patients with PKU and HCU, the build-up of these metabolites can reach toxic levels, resulting in life-threatening medical risks and/or serious developmental delays, life-altering disease burden and symptoms. While there are approved and available pharmaceutical products for both diseases, they present significant limitations in terms of both safety and efficacy, leaving patients often under-managed, attempting to control their disease through a restrictive regimen of diet, medical formula and medical foods, and/or experiencing significant symptoms or risk of dangerous complications.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addition to significant need for new medical treatments, we believe rare metabolic diseases PKU and HCU present advantages as target therapeutic areas for investment. Despite their limitations, the approved treatments for these diseases provide useful precedent in terms of both clinical development paths and navigating regulatory processes including approval. For example, in both PKU and HCU, existing treatments were approved by global regulators based on clinical biomarkers as the primary endpoint in their pivotal, registrational trials, sufficient for full approval. All of the metabolic diseases that we target in our current pipeline also</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0" w:right="399" w:bottom="1440" w:gutter="0" w:footer="0" w:header="0"/>
        </w:sectPr>
      </w:pPr>
    </w:p>
    <w:bookmarkStart w:id="5" w:name="page6"/>
    <w:bookmarkEnd w:id="5"/>
    <w:p>
      <w:pPr>
        <w:ind w:right="180"/>
        <w:spacing w:after="0" w:line="266" w:lineRule="auto"/>
        <w:rPr>
          <w:sz w:val="20"/>
          <w:szCs w:val="20"/>
          <w:color w:val="auto"/>
        </w:rPr>
      </w:pPr>
      <w:r>
        <w:rPr>
          <w:rFonts w:ascii="Times New Roman" w:cs="Times New Roman" w:eastAsia="Times New Roman" w:hAnsi="Times New Roman"/>
          <w:sz w:val="18"/>
          <w:szCs w:val="18"/>
          <w:color w:val="auto"/>
        </w:rPr>
        <w:t>have the benefit of a dietary model, in which there is already a standard dietary intervention to reduce the target metabolite (e.g. avoiding protein in the case of PKU to lower Phe levels, or methionine in the case of HCU, or uric acid for gout). These existing dietary interventions provide a useful model by demonstrating that GI-based means of lowering metabolite levels to provide therapeutic benefit.</w:t>
      </w:r>
    </w:p>
    <w:p>
      <w:pPr>
        <w:spacing w:after="0" w:line="9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From a commercial perspective, these rare metabolic diseases have been well-characterized, and while limited in uptake due to their limitations, the currently available products have provided commercial validation. In PKU for example, the two approved products, Kuvan and Palynziq, have generated $500 million and $300 million respectively, in annual revenue as branded agents, translating to a market opportunity we estimate to be more than $3 billion. For HCU, with an estimated 5,000 patients globally, we estimate a potential market opportunity to be more than $1 billion.</w:t>
      </w:r>
    </w:p>
    <w:p>
      <w:pPr>
        <w:spacing w:after="0" w:line="11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Further, these two disease states present significant synergies as target indications. PKU and HCU patients are largely both treated by the same, concentrated and group of specialist clinicians at metabolic clinics, facilitating both late-stage development and commercialization, given the overlap in key opinion leaders (KOLs), medical meetings and congresses, as well as call points for sales and marketing, market access and patient support programming.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PKU Program</w:t>
      </w:r>
    </w:p>
    <w:p>
      <w:pPr>
        <w:spacing w:after="0" w:line="24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Our lead product candidate, labafenogene marselecobac (SYNB1934), which was being evaluated in Synpheny-3, a privotal Phase 3 study, is designed to consume phenylalanine (Phe) through engineered enzymes produced within the probiotic,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Labafenogene marselecobac has received Orphan Drug Designation (ODD), Fast Track designation, and Rare Pediatric Disease Designation (RPDD) from the FDA in addition to orphan designation from the European Medicines Agency (EMA). In 2023 we announced that the International Nonproprietary Names (INN) Expert Committee of the World Health Organization (WHO-INN) has selected "labafenogene marselecobac" for the nonproprietary name of SYNB1934, reflecting a naming framework for genetically engineered bacteria, in which the first name references the gene being designed or modified (in this case, one for Phe or “fe”), and the second references the bacteria (“bac”).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Science of PKU</w:t>
      </w:r>
    </w:p>
    <w:p>
      <w:pPr>
        <w:spacing w:after="0" w:line="121"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PKU is an inherited metabolic disease caused by genetic mutations that impair the function of the enzyme, phenylalanine hydroxylase (PAH), which normally metabolizes phenylalanine (Phe), an amino acid found in all protein-containing foods, including all meat and dairy products, most beans, grains and potatoes, as well as some artificial sweeteners. Without functioning PAH, uncontrolled Phe levels in PKU can be neurotoxic, interfering with normal brain development during childhood, causing permanent developmental disabilities; severely elevated Phe levels at any age can result in neurocognitive symptoms such as slower cognition, difficulty concentrating or “brain fog.”</w:t>
      </w:r>
    </w:p>
    <w:p>
      <w:pPr>
        <w:spacing w:after="0" w:line="7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Reducing the risk of complications and neurocognitive symptoms in PKU patients requires lifelong control of Phe levels. During the 1960’s, countries began newborn screening to ensure that Phe control was implemented immediately through a highly restrictive, low-Phe diet accompanied by supplemental formula for needed amino acids to avoid permanent, severe intellectual disability. Per E.U. and U.S. guidelines, any newborn infant with a plasma Phe concentration of &gt;400–600 μM should be started on a low-Phe diet as soon as possible. The diet includes extreme restrictions of natural foods to keep daily protein at levels that are often as low as 4-6 grams per day for adults. This generally includes elimination of all sources of animal protein and dairy, legumes and nuts, and limited intake of bread, pasta, rice and some vegetables. Low-protein bread and pasta products made from starch are used to provide needed energy. The dietary regimen required also includes the addition of amino acid-based, Phe-free formula or other specific medical foods to provide adequate protein, vitamins, minerals and energy.</w:t>
      </w:r>
    </w:p>
    <w:p>
      <w:pPr>
        <w:spacing w:after="0" w:line="84"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It is challenging for persons to adhere to this restricted diet and its associated requirements create significant burdens on quality of life for both patients and caregivers. Access to low protein foods can pose difficulties as they are costlier and less nutritious than their higher protein, non-modified equivalents, and the needed formula can also be costly or otherwise difficult to access. As a result, the vast majority of people living with PKU, and especially adults living independently, have Phe levels well above the recognized targets.</w:t>
      </w:r>
    </w:p>
    <w:p>
      <w:pPr>
        <w:spacing w:after="0" w:line="7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It is estimated that there are more than 150,000 people diagnosed with PKU living across the United States, Europe and Asia. They are typically diagnosed through newborn screening. Of these, the vast majority remain untreated, reflecting the limitations of current treatment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Limitiations of Current PKU Treatment Options</w:t>
      </w:r>
    </w:p>
    <w:p>
      <w:pPr>
        <w:spacing w:after="0" w:line="121"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There are currently two medications been approved by the FDA, EMA, and other regulatory agencies globally as medical treatments for PKU based on safety and efficacy in reduction of plasma Phe levels. These approved medications provide important and helpful examples and precedents for clinical development and regulatory processes. Each one however, has drawbacks limitations leave the majority of people with PKU living without a medical treatment for Phe reduction. These limitations are outlined below:</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6" w:name="page7"/>
    <w:bookmarkEnd w:id="6"/>
    <w:p>
      <w:pPr>
        <w:ind w:left="10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Sapropterin dihydrochloride (Kuvan®), a biopterin, was approved by the FDA in 2017, and is now available as a generic in the United States and other markets in tablet and sachet formulations. Sapropterin works by stimulating the PAH enzyme to process Phe in people with PKU. This requires having residual PAH enzyme, and responding to tetrahydrobiopterin (BH4). Typically only a minority of PKU patients will demonstrate BH4-responsiveness, and as a result, the use of Kuvan has been limited to an estimated 15%-20% of U.S. patients. Reflecting the size of the overall patient population, despite this low use, Kuvan generated ~$500 million per year globally for BioMarin Pharmaceutical, Inc. prior to genericization. Of those who do respond and maintain treatment with sapropterin, we believe a significant proportion would still benefit from additional Phe-lowering, and see this segment as an important opportunity for labafenogene marselecobac as an adjunctive medical treatment option.</w:t>
      </w:r>
    </w:p>
    <w:p>
      <w:pPr>
        <w:spacing w:after="0" w:line="83"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Palynziq® Injection (pegvaliase-pqpz) was approved by the FDA in 2018 for adult patients with PKU and uncontrolled blood Phe. Due to instability and other complexities, the PAH enzyme that is impaired in PKU is not a viable candidate for enzyme replacement therapy. Palynziq is a pegylated form of recombinant phenylalanine ammonia lyase (PAL), a non-mammalian enzyme that also metabolizes Phe. Safety considerations include risk of severe allergic reactions, including a 10% risk of anaphylaxis, resulting in FDA labeling that includes a boxed warning and requirement to carry auto-injectable epinephrine at all times while they are taking the medication. Despite these challenges, Palynziq is forecast to generate $300 million in 2023, largely from the United States, despite maintaining an estimated ~10% market share.</w:t>
      </w:r>
    </w:p>
    <w:p>
      <w:pPr>
        <w:spacing w:after="0" w:line="18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Given the limitations of sapropterin in terms of responder rates, and the safety challenges of Palynziq, we believe the approved therapies’ limitations leave a large majority of those living with PKU in need of an orally-administered medical treatment option that provides Phe-lowering efficacy with an acceptable safety and tolerability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123190</wp:posOffset>
            </wp:positionV>
            <wp:extent cx="5674995" cy="3274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499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Labafenogene marselecobac for PKU</w:t>
      </w:r>
    </w:p>
    <w:p>
      <w:pPr>
        <w:spacing w:after="0" w:line="121" w:lineRule="exact"/>
        <w:rPr>
          <w:sz w:val="20"/>
          <w:szCs w:val="20"/>
          <w:color w:val="auto"/>
        </w:rPr>
      </w:pPr>
    </w:p>
    <w:p>
      <w:pPr>
        <w:jc w:val="both"/>
        <w:ind w:right="240" w:firstLine="749"/>
        <w:spacing w:after="0" w:line="289" w:lineRule="auto"/>
        <w:rPr>
          <w:sz w:val="20"/>
          <w:szCs w:val="20"/>
          <w:color w:val="auto"/>
        </w:rPr>
      </w:pPr>
      <w:r>
        <w:rPr>
          <w:rFonts w:ascii="Times New Roman" w:cs="Times New Roman" w:eastAsia="Times New Roman" w:hAnsi="Times New Roman"/>
          <w:sz w:val="17"/>
          <w:szCs w:val="17"/>
          <w:color w:val="auto"/>
        </w:rPr>
        <w:t xml:space="preserve">Labafenogene marselecobac is designed to treat PKU and lower Phe levels through the engineering of two Phe-consuming enzymes: L-amino acid deaminase (LAAD) and phenylalanine ammonia lyase (PAL), produced by a strain of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 xml:space="preserve"> Nissle, which also includes a Phe transporter, PheP, to bring Phe into the cell. The drug candidate thustargets Phe from dietary sources, and Phe that has circulated to the GI tract via enterorecirculation.</w:t>
      </w:r>
    </w:p>
    <w:p>
      <w:pPr>
        <w:spacing w:after="0" w:line="5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This design enables a patient-friendly product presentation: it is provided to patients as powder for mixing with water or juice, taken with with meals. This product presentation is familiar to PKU patients, as sapropterin is provided as a sachet, and often their nutritional supplemental formula requires mixing with liquid.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637540</wp:posOffset>
            </wp:positionV>
            <wp:extent cx="6172200" cy="3472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Labafenogene marselecobac was engineered as a next-generation version of first-generation PKU drug candidate SYNB1618, by modifying five amino acids in PAL, which increased productivity of PAL’s conversion of Phe to the metabolic byproduct trans-Cinnamic acid (TCA). A detailed description of the engineering of SYNB1618 and data from preclinical studies in an animal model of disease and healthy non-human primates was published in 2018 (Nat. Biotechnol. 36, 857–864 (2018)), and an overview of the engineering and early development of SYNB1934 was published in 2021 (Nat Commun. 12, 6215 (2021)).</w:t>
      </w:r>
    </w:p>
    <w:p>
      <w:pPr>
        <w:spacing w:after="0" w:line="10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Phase 1 studies of healthy volunteers, both SYNB1618 and labafenogene marselecobac were found to be safe and well-tolerated at doses up to 2x1012 live cells administered three times a day for seven days. Higher doses were associated with mild to moderate gastrointestinal symptoms, mainly nausea and vomiting. In July 2019, we announced data that demonstrated that SYNB1618 was safe and well-tolerated and achieved proof-of-mechanism of strain activity in both healthy volunteers and patients with PKU. Improved tolerability of the lyophilized SYNB1618 over the early liquid formulation enabled us to determine a maximally tolerated dose (MTD) to take forward to test in patients. In September 2021, we announced that Phase 1 results in healthy volunteers and predictive modeling indicate labafenogene marselecobac may have greater potency than SYNB1618.</w:t>
      </w:r>
    </w:p>
    <w:p>
      <w:pPr>
        <w:spacing w:after="0" w:line="12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October 2022, we shared positive top-line results from the Phase 2 Synpheny-1 study that demonstrated proof of concept in PKU patients for both candidates, and confirmed greater potency of the next-generation labafenogene marselecobac , the candidate that we have selected to advance to pivotal Phase 3 studies. The complete results were presented at the Society for Inherited Metabolic Disorders (SIMD) Annual Meeting in March 2023 and published in the journal Nature Metabolism in September 2023. Results presented included successfully meeting the primary endpoint (change in area under the curve of D5-Phe following a meal challenge) for SYNB1618 and labafenogene marselecobac. Results for labafenogene marselecobac included a -40% mean reduction in plasma Phe levels for labafenogene marselecobac, and -53% among those considered responders (with &gt;20% reduction from baseline). 60% of patients achieved the &gt;20% criteria for Phe reduction considered the threshold for a clinically meaningful response. The study also included experience with both candidates when provided in combination for patients who were already taking sapropterin (Kuvan) at baseline, indicating the potential for adjunctive medical treatment. Safety and tolerability findings were consistent with prior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ind w:right="60"/>
        <w:spacing w:after="0" w:line="282" w:lineRule="auto"/>
        <w:rPr>
          <w:sz w:val="20"/>
          <w:szCs w:val="20"/>
          <w:color w:val="auto"/>
        </w:rPr>
      </w:pPr>
      <w:r>
        <w:rPr>
          <w:rFonts w:ascii="Times New Roman" w:cs="Times New Roman" w:eastAsia="Times New Roman" w:hAnsi="Times New Roman"/>
          <w:sz w:val="18"/>
          <w:szCs w:val="18"/>
          <w:color w:val="auto"/>
        </w:rPr>
        <w:t>experience and favorable, with no serious adverse events (SAE) across the PKU program, and those adverse events that did occur being predominantly GI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294005</wp:posOffset>
            </wp:positionV>
            <wp:extent cx="5940425" cy="6223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0425" cy="6223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In June 2023 we announced the initiation of Synpheny-3. Its design was informed by input from global regulatory agencies, clinicians and patients, and the precedent of pivotal studies from already approved drugs.</w:t>
      </w:r>
    </w:p>
    <w:p>
      <w:pPr>
        <w:spacing w:after="0" w:line="9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study was a randomized, placebo-controlled, global, pivotal Phase 3 clinical trial designed to evaluate the efficacy and safety of SYNB1934 as a treatment for PKU. The primary endpoint was the change in phenylalanine (Phe) levels from baseline for SYNB1934 compared to placebo, in a subset of patients who are considered responders (defined as &gt;20% reduction in Phe).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9" w:name="page10"/>
    <w:bookmarkEnd w:id="9"/>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trial consisted of three parts: Part 1, an open-label dose escalation period, during which patients titrate through up to three dose levels, with at least three weeks per dose; Part 2, a four-week randomized withdrawal period used for the pivotal analysis; and Part 3, an open-label extension which includes an evaluation of Phe tolerance, or dietary liberalization.</w:t>
      </w:r>
    </w:p>
    <w:p>
      <w:pPr>
        <w:spacing w:after="0" w:line="9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HCU Program</w:t>
      </w:r>
    </w:p>
    <w:p>
      <w:pPr>
        <w:spacing w:after="0" w:line="162" w:lineRule="exact"/>
        <w:rPr>
          <w:sz w:val="20"/>
          <w:szCs w:val="20"/>
          <w:color w:val="auto"/>
        </w:rPr>
      </w:pPr>
    </w:p>
    <w:p>
      <w:pPr>
        <w:ind w:right="200" w:firstLine="749"/>
        <w:spacing w:after="0" w:line="289" w:lineRule="auto"/>
        <w:rPr>
          <w:sz w:val="20"/>
          <w:szCs w:val="20"/>
          <w:color w:val="auto"/>
        </w:rPr>
      </w:pPr>
      <w:r>
        <w:rPr>
          <w:rFonts w:ascii="Times New Roman" w:cs="Times New Roman" w:eastAsia="Times New Roman" w:hAnsi="Times New Roman"/>
          <w:sz w:val="17"/>
          <w:szCs w:val="17"/>
          <w:color w:val="auto"/>
        </w:rPr>
        <w:t>In November 2021 we announced the nomination of SYNB1353, a novel, orally administered, non-systemically absorbed drug candidate designed to lower plasma levels of homocysteine (Hcy) in patients with HCU by consuming methionine (Met), a precursor to Hcy. We also shared at that time that mechanistic modeling data suggests that SYNB1353 may lower plasma Hcy by up to 58% and may increase protein intake in HCU patients.</w:t>
      </w:r>
    </w:p>
    <w:p>
      <w:pPr>
        <w:spacing w:after="0" w:line="7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November 2022, we announced that proof of mechanism was achieved with SYNB1353 through positive results in the Phase 1 study of healthy volunteers using a dietary model of HCU, in which we showed the translation from SYNB1353’s activity in the GI tract to a lowering of plasma levels of Met. SYNB1353 has received Fast Track, Orphan Drug, and Rare Pediatric Disease Designations from the FDA as a potential treatment for HCU.</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of HCU</w:t>
      </w:r>
    </w:p>
    <w:p>
      <w:pPr>
        <w:spacing w:after="0" w:line="121"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HCU is a rare inherited metabolic disorder that affects the metabolism of the amino acid methionine (Met), a protein found in many foods including meat, fish, and dairy products. HCU is caused by a genetic defect which results in the absence of an enzyme known as cystathionine beta-synthase (CBS). When CBS is absent, Hcy and other toxic chemicals and their byproducts, including Met, build up in the blood and urine. In HCU, elevated total homocysteine (tHcy) levels are associated with a multisystem disorder, including impairments of the eye (ectopia lentis and/or severe myopia), skeletal system (excessive height, long limbs, scoliosis, pectus excavatum), vascular system (thromboembolism), and CNS (development delay and intellectual disability). The goal in treating HCU</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is to reduce and control levels of tHcy, thereby reducing risk of acute, potentially life-threatening blood clots and chronic, multisystem complications.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111760</wp:posOffset>
            </wp:positionV>
            <wp:extent cx="6172200" cy="3154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is currently no cure for HCU and treatment options are limited. Patients must follow a rigid diet low in protein to avoid dietary Met intake. Other therapeutic approaches include vitamin supplements to minimize some of the disease side effects. Approximately 5,000 individuals in the United States and Europe suffer from CBS or “Classical” HCU.</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Current HCU Treatments</w:t>
      </w:r>
    </w:p>
    <w:p>
      <w:pPr>
        <w:spacing w:after="0" w:line="162"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Approved pharmacological treatment options for HCU are limited due to efficacy and tolerability. People with more mild phenotypes of HCU typically respond effectively to, and are sufficiently managed by, taking Vitamin B6 (also known as pyridoxine-responsive). Non-responders require a combination of betaine (brand name Cystadane®) and a moderate to severe dietary Met restriction. The severely protein-restricted diet is complex and challenging for long-term adherence. Compliance with treatment often deteriorates, particularly in adolescence, as in other disorders requiring dietary adherence. Patients report significant challenges with the burden of the low protein diet, intake of amino acid mixtures, and the palatability of protein substitutes as well as betaine. Reaching tHcy treatment targets remains a challenge despite existing pharmacotherapies.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SYNB1353 for HCU</w:t>
      </w:r>
    </w:p>
    <w:p>
      <w:pPr>
        <w:spacing w:after="0" w:line="162" w:lineRule="exact"/>
        <w:rPr>
          <w:sz w:val="20"/>
          <w:szCs w:val="20"/>
          <w:color w:val="auto"/>
        </w:rPr>
      </w:pPr>
    </w:p>
    <w:p>
      <w:pPr>
        <w:ind w:right="340" w:firstLine="749"/>
        <w:spacing w:after="0" w:line="256" w:lineRule="auto"/>
        <w:rPr>
          <w:sz w:val="20"/>
          <w:szCs w:val="20"/>
          <w:color w:val="auto"/>
        </w:rPr>
      </w:pPr>
      <w:r>
        <w:rPr>
          <w:rFonts w:ascii="Times New Roman" w:cs="Times New Roman" w:eastAsia="Times New Roman" w:hAnsi="Times New Roman"/>
          <w:sz w:val="18"/>
          <w:szCs w:val="18"/>
          <w:color w:val="auto"/>
        </w:rPr>
        <w:t>A diet low in Met, a precursor to Hcy, is standard treatment for lowering tHcy levels in patients with HCU. This dietary model provided the scientific rationale for SYNB1353, which was engineered to produce an enzymatic pathway to metabolize Met, and thus lower plasma levels of tHcy. SYNB1353 metabolizes Met via the methionine decarboxylase (MetDC) enzymatic pathway, which prevents the conversion of Met into Hcy, thereby lowering tHcy in HCU patients and reducing risk of complications. SYNB1353 is taken as an orally administered, non-systemically absorbed live biotherapeutic drug candidate that, like our PKU drug candidates, is provided as a lyophilized powder in a sachet, to be orally administered with meals three times a day. We hold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worldwide development and commercialization rights to SYNB1353, which was developed as part of our research collaboration with Ginkgo.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102870</wp:posOffset>
            </wp:positionV>
            <wp:extent cx="6061075" cy="3429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107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November 2022, we announced that proof of mechanism was achieved with SYNB1353 through positive results in the Phase 1 study of healthy volunteers using a dietary model of HCU. Top-line results demonstrated that SYNB1353 reduced in plasma Met when measured over 24 hours as area under the curve (AUC) following a Met meal challenge. SYNB1353 was generally well tolerated, and adverse events (AEs) were all mild to moderate, transient, and predominantly GI in nature. The frequency and severity of GI-related AEs were similar in the active and control group. During 2023, we conducted fermentation process improvements that successfully further increased activity of methionine degradation for SYNB1353.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Pipeline: Earlier-Stage Programs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Enteric Hyperoxaluria Program</w:t>
      </w:r>
    </w:p>
    <w:p>
      <w:pPr>
        <w:spacing w:after="0" w:line="162" w:lineRule="exact"/>
        <w:rPr>
          <w:sz w:val="20"/>
          <w:szCs w:val="20"/>
          <w:color w:val="auto"/>
        </w:rPr>
      </w:pPr>
    </w:p>
    <w:p>
      <w:pPr>
        <w:ind w:right="320" w:firstLine="749"/>
        <w:spacing w:after="0" w:line="312" w:lineRule="auto"/>
        <w:rPr>
          <w:sz w:val="20"/>
          <w:szCs w:val="20"/>
          <w:color w:val="auto"/>
        </w:rPr>
      </w:pPr>
      <w:r>
        <w:rPr>
          <w:rFonts w:ascii="Times New Roman" w:cs="Times New Roman" w:eastAsia="Times New Roman" w:hAnsi="Times New Roman"/>
          <w:sz w:val="17"/>
          <w:szCs w:val="17"/>
          <w:color w:val="auto"/>
        </w:rPr>
        <w:t>SYNB8802 is a novel, orally administered, non-systemically absorbed drug candidate that was being developed for the treatment of enteric hyperoxaluria, a chronic, progressive disease characterized by high levels of urinary oxalate (Uox), a well-recognized cause of recurrent kidney stones.</w:t>
      </w:r>
    </w:p>
    <w:p>
      <w:pPr>
        <w:spacing w:after="0" w:line="7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Hyperoxaluria is a disease which results from excessive levels of oxalate in the body. Oxalate can be found naturally in the body or in foods with high oxalate levels such as leafy greens, potatoes, almonds, coffee, and beans. Humans do not have an inherent physiological need for oxalate and it is normally excreted through the kidney. Excessive levels of oxalate, when present in the urine, bind with calcium in the kidney and lead to nephrolithiasis (kidney stone formation), nephrocalcinosis, chronic kidney complications and renal disease.</w:t>
      </w:r>
    </w:p>
    <w:p>
      <w:pPr>
        <w:spacing w:after="0" w:line="9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Enteric hyperoxaluria often occurs as a result of a primary insult to the bowel, such as Crohn’s disease, short bowel syndrome, or surgical procedures such as Roux-en-Y bariatric weight-loss surgery. This results in GI malabsorption, causing increased absorption of oxalate across the GI tract into the circulation. Oxalate crystals can damage kidneys, leading to chronic kidney disease and end-stage renal disease (ESRD). There are no approved treatments for enteric hyperoxaluria.</w:t>
      </w:r>
    </w:p>
    <w:p>
      <w:pPr>
        <w:spacing w:after="0" w:line="11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There is a direct link between elevated Uox and increased probability of kidney stone events or other renal adverse outcomes in patients with enteric hyperoxaluria. Even modest reductions in Uox can reduce the odds of developing a kidney stone. A recent epidemiological study conducted in 297 patients with enteric hyperoxaluria demonstrated that a 20% reduction in Uox resulted in as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12" w:name="page13"/>
    <w:bookmarkEnd w:id="12"/>
    <w:p>
      <w:pPr>
        <w:ind w:right="20"/>
        <w:spacing w:after="0" w:line="282" w:lineRule="auto"/>
        <w:rPr>
          <w:sz w:val="20"/>
          <w:szCs w:val="20"/>
          <w:color w:val="auto"/>
        </w:rPr>
      </w:pPr>
      <w:r>
        <w:rPr>
          <w:rFonts w:ascii="Times New Roman" w:cs="Times New Roman" w:eastAsia="Times New Roman" w:hAnsi="Times New Roman"/>
          <w:sz w:val="18"/>
          <w:szCs w:val="18"/>
          <w:color w:val="auto"/>
        </w:rPr>
        <w:t>much as a 25% reduction in the annual risk of having a kidney stone in the subsequent year in patients with recurrent kidney stones (D’Costa, Nephrol Dial Transplant 2020).</w:t>
      </w:r>
    </w:p>
    <w:p>
      <w:pPr>
        <w:spacing w:after="0" w:line="8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There are currently few approved treatments for primary hyperoxaluria, a rare genetic disease wherein the liver produces excessive levels of oxalate. Approved treatments for primary hyperoxaluria target the liver, and thus are not beneficial to patients with enteric hyperoxaluria, given its etiology is in GI malabsorption, and not hepatic over-production.</w:t>
      </w:r>
    </w:p>
    <w:p>
      <w:pPr>
        <w:spacing w:after="0" w:line="10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estimate that there are 200,000 to 300,000 patients with recurrent kidney stones due to enteric hyperoxaluria in the United States. Existing treatment options are generally non-specific and include high fluid intake to increase urine output to more than two to three liters per day, a diet low in salt and oxalate, oral citrate and/or calcium and/or magnesium supplementation. We believe a clear need exists for therapies that lower dangerously high levels of Uox to reduce the risk of recurrent kidney stones in this patient population.</w:t>
      </w:r>
    </w:p>
    <w:p>
      <w:pPr>
        <w:spacing w:after="0" w:line="11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May 2020, we announced the nomination of a clinical candidate for enteric hyperoxaluria, SYNB8802, which was designed using precision genetic engineering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to lower Uox levels by consuming oxalate throughout the GI tract through the addition of three different enzymes. In vivo studies in both mice and non-human primates demonstrated that SYNB8802 decreased Uox levels in an acute model of hyperoxaluria induced by dietary intervention. A detailed description of the engineering of SYNB8802 and data from these preclinical studies in an animal model of disease and healthy non-human primates was published in Molecular Systems Biology (Lubkowicz et al 2022). In 2021, we reported positive proof-of-mechanism for SYNB8802 from a Phase 1b study that demonstrated lowering of urinary and fecal oxalate levels in healthy volunteers with diet-induced hyperoxaluria, and in December 2022, we shared data confirming that SYNB8802 demonstrated proof of concept through clinically significant -38% lowering of Uox in a Phase 1b study in patients with a history of gastric bypass surgery.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Gout Program</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SYNB2081 is designed to consume uric acid in the GI tract with the goal of lowering systemic uric acid levels as a potential treatment for gout, a complex form of inflammatory arthritis. Current treatment options present limitations in both safety and efficacy. SYNB2081 presents a novel, orally administered, non-systemically absorbed drug candidate created through our research collaboration with Ginkgo.</w:t>
      </w:r>
    </w:p>
    <w:p>
      <w:pPr>
        <w:spacing w:after="0" w:line="10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Gout occurs when excess uric acid in the body forms crystals in the joints. Patients can experience symptoms such as intense joint pain, inflammation and redness, and limited range of motion in the affected joints due to excessive levels of uric acid. In addition, gout is a recognized risk factor in chronic kidney disease. Due to present limitations in current treatment options, we believe that there is a clear need for a new approach.</w:t>
      </w:r>
    </w:p>
    <w:p>
      <w:pPr>
        <w:spacing w:after="0" w:line="9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August 2022 we announced SYNB2081 as our drug candidate for the potential treatment of gout and the second product to advance to clinical development through our collaboration with Ginkgo.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Designing and Developing Synthetic Biotics</w:t>
      </w:r>
    </w:p>
    <w:p>
      <w:pPr>
        <w:spacing w:after="0" w:line="16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Synthetic Biotics we design have unique advantages as potentially safe, effective, orally administered biotherapeutics. Engineered microbes can be programmed to carry out functions that cannot be performed by conventional drug treatments, such as small molecules or antibodies. Unlike other targeted approaches such as gene or RNA-targeted therapies, Synthetic Biotics are reversible, as they are engineered to be non-colonizing and are rapidly cleared via excretion. They have a reduced risk of adverse events due to the lack of systemic absorption.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Using Synthetic Biology to Generate Synthetic Biotics</w:t>
      </w:r>
    </w:p>
    <w:p>
      <w:pPr>
        <w:spacing w:after="0" w:line="162"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Bacteria have evolved over millions of years to adapt, survive, and actively metabolize to consume or produce metabolites in the human body. They are also amenable to genetic manipulation. To confer a therapeutic effect, we use basic biological properties of bacteria and the tools of synthetic biology to develop Synthetic Biotics from non-pathogenic microbes, focusing initially on a single strain of the bacteria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w:t>
      </w:r>
    </w:p>
    <w:p>
      <w:pPr>
        <w:spacing w:after="0" w:line="108" w:lineRule="exact"/>
        <w:rPr>
          <w:sz w:val="20"/>
          <w:szCs w:val="20"/>
          <w:color w:val="auto"/>
        </w:rPr>
      </w:pPr>
    </w:p>
    <w:p>
      <w:pPr>
        <w:jc w:val="both"/>
        <w:ind w:right="540" w:firstLine="749"/>
        <w:spacing w:after="0" w:line="266" w:lineRule="auto"/>
        <w:rPr>
          <w:sz w:val="20"/>
          <w:szCs w:val="20"/>
          <w:color w:val="auto"/>
        </w:rPr>
      </w:pPr>
      <w:r>
        <w:rPr>
          <w:rFonts w:ascii="Times New Roman" w:cs="Times New Roman" w:eastAsia="Times New Roman" w:hAnsi="Times New Roman"/>
          <w:sz w:val="18"/>
          <w:szCs w:val="18"/>
          <w:color w:val="auto"/>
        </w:rPr>
        <w:t>Our scientists genetically engineer probiotic, non-pathogenic bacteria to create biological circuits to direct cellular processes in a manner analogous to designing electrical circuits. We aim to precisely and appropriately control the amount, location and activity of our Synthetic Biotics to address specific diseases and target biology of interest.</w:t>
      </w:r>
    </w:p>
    <w:p>
      <w:pPr>
        <w:spacing w:after="0" w:line="93" w:lineRule="exact"/>
        <w:rPr>
          <w:sz w:val="20"/>
          <w:szCs w:val="20"/>
          <w:color w:val="auto"/>
        </w:rPr>
      </w:pPr>
    </w:p>
    <w:p>
      <w:pPr>
        <w:ind w:right="20" w:firstLine="749"/>
        <w:spacing w:after="0" w:line="284" w:lineRule="auto"/>
        <w:rPr>
          <w:sz w:val="20"/>
          <w:szCs w:val="20"/>
          <w:color w:val="auto"/>
        </w:rPr>
      </w:pPr>
      <w:r>
        <w:rPr>
          <w:rFonts w:ascii="Times New Roman" w:cs="Times New Roman" w:eastAsia="Times New Roman" w:hAnsi="Times New Roman"/>
          <w:sz w:val="18"/>
          <w:szCs w:val="18"/>
          <w:color w:val="auto"/>
        </w:rPr>
        <w:t xml:space="preserve">The critical parts of an engineered Synthetic Biotic medicine include (1) the chassis, or non-pathogenic bacterium (in our case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(2) the effector module(s), which is a gene or pathway encoding the core biological activity that provides the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3" w:name="page14"/>
    <w:bookmarkEnd w:id="13"/>
    <w:p>
      <w:pPr>
        <w:ind w:right="40"/>
        <w:spacing w:after="0" w:line="282" w:lineRule="auto"/>
        <w:rPr>
          <w:sz w:val="20"/>
          <w:szCs w:val="20"/>
          <w:color w:val="auto"/>
        </w:rPr>
      </w:pPr>
      <w:r>
        <w:rPr>
          <w:rFonts w:ascii="Times New Roman" w:cs="Times New Roman" w:eastAsia="Times New Roman" w:hAnsi="Times New Roman"/>
          <w:sz w:val="18"/>
          <w:szCs w:val="18"/>
          <w:color w:val="auto"/>
        </w:rPr>
        <w:t>therapeutic function, and (3) tunable switches that are designed to respond to specific disease states or environment signals to precisely control the activity, potency, and performance of the effector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62865</wp:posOffset>
            </wp:positionV>
            <wp:extent cx="3883025" cy="2202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8302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20" w:right="80" w:hanging="503"/>
        <w:spacing w:after="0" w:line="255" w:lineRule="auto"/>
        <w:tabs>
          <w:tab w:leader="none" w:pos="10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Chassis: </w:t>
      </w:r>
      <w:r>
        <w:rPr>
          <w:rFonts w:ascii="Times New Roman" w:cs="Times New Roman" w:eastAsia="Times New Roman" w:hAnsi="Times New Roman"/>
          <w:sz w:val="18"/>
          <w:szCs w:val="18"/>
          <w:color w:val="auto"/>
        </w:rPr>
        <w:t>Our Synthetic Biotic platform starts with a well-characterized probiotic to serve as the chassis upon which we build our living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medicines. Our research and development programs use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which is one of many non-pathogenic probiotics isolated from the human microbiota.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is non-colonizing and has been used as a probiotic bacterial supplement for many years to promote gut health. Clinical studies have demonstrated that E. coli Nissle is rapidly cleared from most individuals with no significant safety issues (Clin. Transl. Sci. (2017) 00, 1—8). We also observed complete clearance from subjects in our Phase 1 clinical trial of SYNB1618 in healthy volunteers (Puurunen et al 2021 Nature Metabolism 3; 1125-1132). We believe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Nissle's widespread use as a probiotic is evidence of its utility as a safe background chassis to apply synthetic biology to confer a therapeutic benefit. There are several additional features of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coli </w:t>
      </w:r>
      <w:r>
        <w:rPr>
          <w:rFonts w:ascii="Times New Roman" w:cs="Times New Roman" w:eastAsia="Times New Roman" w:hAnsi="Times New Roman"/>
          <w:sz w:val="18"/>
          <w:szCs w:val="18"/>
          <w:color w:val="auto"/>
        </w:rPr>
        <w:t>Nissle organism that makes it an attractive chassis for our platform:</w:t>
      </w:r>
    </w:p>
    <w:p>
      <w:pPr>
        <w:spacing w:after="0" w:line="78" w:lineRule="exact"/>
        <w:rPr>
          <w:rFonts w:ascii="Times New Roman" w:cs="Times New Roman" w:eastAsia="Times New Roman" w:hAnsi="Times New Roman"/>
          <w:sz w:val="18"/>
          <w:szCs w:val="18"/>
          <w:b w:val="1"/>
          <w:bCs w:val="1"/>
          <w:color w:val="auto"/>
        </w:rPr>
      </w:pPr>
    </w:p>
    <w:p>
      <w:pPr>
        <w:ind w:left="1780" w:right="400" w:hanging="515"/>
        <w:spacing w:after="0" w:line="284" w:lineRule="auto"/>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 coli </w:t>
      </w:r>
      <w:r>
        <w:rPr>
          <w:rFonts w:ascii="Times New Roman" w:cs="Times New Roman" w:eastAsia="Times New Roman" w:hAnsi="Times New Roman"/>
          <w:sz w:val="18"/>
          <w:szCs w:val="18"/>
          <w:color w:val="auto"/>
        </w:rPr>
        <w:t>Nissle’s genetic and metabolic machinery are well understood and provide a robust cellular context into which genetic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can be introduced with high efficiency and little or no damage to the fitness of the bacterium.</w:t>
      </w:r>
    </w:p>
    <w:p>
      <w:pPr>
        <w:spacing w:after="0" w:line="50" w:lineRule="exact"/>
        <w:rPr>
          <w:rFonts w:ascii="Times New Roman" w:cs="Times New Roman" w:eastAsia="Times New Roman" w:hAnsi="Times New Roman"/>
          <w:sz w:val="18"/>
          <w:szCs w:val="18"/>
          <w:color w:val="auto"/>
        </w:rPr>
      </w:pPr>
    </w:p>
    <w:p>
      <w:pPr>
        <w:ind w:left="1780" w:right="460" w:hanging="515"/>
        <w:spacing w:after="0" w:line="284" w:lineRule="auto"/>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advanced nature of the synthetic biology toolkit available for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enables rapid iterative design, assembly, and testing of prototype product candidates and remains unique among other bacterial and cellular engineering approaches.</w:t>
      </w:r>
    </w:p>
    <w:p>
      <w:pPr>
        <w:spacing w:after="0" w:line="52"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from known principles of manufacturing helps de-risk Synlogic’s proprietary large-scale manufacturing platform.</w:t>
      </w:r>
    </w:p>
    <w:p>
      <w:pPr>
        <w:spacing w:after="0" w:line="115"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Gram-negative bacterium, with a protective outer wall,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survives well in the human GI tract.</w:t>
      </w:r>
    </w:p>
    <w:p>
      <w:pPr>
        <w:spacing w:after="0" w:line="11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Effector Module or Circuit: </w:t>
      </w:r>
      <w:r>
        <w:rPr>
          <w:rFonts w:ascii="Times New Roman" w:cs="Times New Roman" w:eastAsia="Times New Roman" w:hAnsi="Times New Roman"/>
          <w:sz w:val="18"/>
          <w:szCs w:val="18"/>
          <w:color w:val="auto"/>
        </w:rPr>
        <w:t>Synthetic Biotics have the advantage that they can be designed with multiple pathway components.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have engineered integration systems to direct stable insertion of multiple genetic circuits and pathways into optimal chromosomal locations, or “landing pads,”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This enables efficient and stable expression of multiple genes encoding enzymes and other proteins. Our approach allows us to engineer two types of mechanistic activities into our Synthetic Biotics: 1) we can engineer Synthetic Biotics capable of metabolic transformations that can substitute or compensate for missing or defective pathways in a patient, and 2) we can engineer Synthetic Biotics to produce therapeutically beneficial molecules.</w:t>
      </w:r>
    </w:p>
    <w:p>
      <w:pPr>
        <w:spacing w:after="0" w:line="78" w:lineRule="exact"/>
        <w:rPr>
          <w:rFonts w:ascii="Times New Roman" w:cs="Times New Roman" w:eastAsia="Times New Roman" w:hAnsi="Times New Roman"/>
          <w:sz w:val="18"/>
          <w:szCs w:val="18"/>
          <w:b w:val="1"/>
          <w:bCs w:val="1"/>
          <w:color w:val="auto"/>
        </w:rPr>
      </w:pPr>
    </w:p>
    <w:p>
      <w:pPr>
        <w:ind w:left="102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enzymatic pathways needed to produce or convert molecules are protected from the harsh GI environment by their location within the cell cytoplasm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allowing them the potential to function throughout the GI tract. We have leveraged proprietary tools, know-how and intellectual property to build multiple Synthetic Biotics that produce therapeutically relevant effects in pre-clinical experiments. Progression of these product candidates in diseases with high unmet need is based on prioritizing those with feasible drug development paths in terms of availability of informative animal models and existence of biomarkers to guide efficient clinical development.</w:t>
      </w:r>
    </w:p>
    <w:p>
      <w:pPr>
        <w:spacing w:after="0" w:line="71" w:lineRule="exact"/>
        <w:rPr>
          <w:rFonts w:ascii="Times New Roman" w:cs="Times New Roman" w:eastAsia="Times New Roman" w:hAnsi="Times New Roman"/>
          <w:sz w:val="18"/>
          <w:szCs w:val="18"/>
          <w:b w:val="1"/>
          <w:bCs w:val="1"/>
          <w:color w:val="auto"/>
        </w:rPr>
      </w:pPr>
    </w:p>
    <w:p>
      <w:pPr>
        <w:ind w:left="1020" w:right="240" w:hanging="503"/>
        <w:spacing w:after="0" w:line="268" w:lineRule="auto"/>
        <w:tabs>
          <w:tab w:leader="none" w:pos="10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Tunable Switches: </w:t>
      </w:r>
      <w:r>
        <w:rPr>
          <w:rFonts w:ascii="Times New Roman" w:cs="Times New Roman" w:eastAsia="Times New Roman" w:hAnsi="Times New Roman"/>
          <w:sz w:val="18"/>
          <w:szCs w:val="18"/>
          <w:color w:val="auto"/>
        </w:rPr>
        <w:t>We also design and engineer proprietary switches to control the activity of the genetic pathways we introduce into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Synthetic Biotics, with the goal of controlling the engineered circuit or its therapeutic output. To optimize the fitness and activity of a Synthetic Biotic, it is critical that the effector is activated at the appropriate time and</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14" w:name="page15"/>
    <w:bookmarkEnd w:id="14"/>
    <w:p>
      <w:pPr>
        <w:ind w:left="1020" w:right="80"/>
        <w:spacing w:after="0" w:line="282" w:lineRule="auto"/>
        <w:rPr>
          <w:sz w:val="20"/>
          <w:szCs w:val="20"/>
          <w:color w:val="auto"/>
        </w:rPr>
      </w:pPr>
      <w:r>
        <w:rPr>
          <w:rFonts w:ascii="Times New Roman" w:cs="Times New Roman" w:eastAsia="Times New Roman" w:hAnsi="Times New Roman"/>
          <w:sz w:val="18"/>
          <w:szCs w:val="18"/>
          <w:color w:val="auto"/>
        </w:rPr>
        <w:t>place to mediate its function. Switches are based on engineering DNA elements called “inducible promoters” that are designed to respond to disease states, specific environmental signals, or exogenously added inducing molecules.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Advantages of Synthetic Biotic Biotherapeutics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Synthetic Biotics will provide safe and effective therapies given the following attributes:</w:t>
      </w:r>
    </w:p>
    <w:p>
      <w:pPr>
        <w:spacing w:after="0" w:line="113"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Synthetic Biotics Have Potential to Address Unmet Needs Not Possible with Other Modalities</w:t>
      </w:r>
    </w:p>
    <w:p>
      <w:pPr>
        <w:spacing w:after="0" w:line="121" w:lineRule="exact"/>
        <w:rPr>
          <w:rFonts w:ascii="Times New Roman" w:cs="Times New Roman" w:eastAsia="Times New Roman" w:hAnsi="Times New Roman"/>
          <w:sz w:val="18"/>
          <w:szCs w:val="18"/>
          <w:b w:val="1"/>
          <w:bCs w:val="1"/>
          <w:color w:val="auto"/>
        </w:rPr>
      </w:pPr>
    </w:p>
    <w:p>
      <w:pPr>
        <w:ind w:left="10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Degrading Toxic Metabolites:</w:t>
      </w:r>
      <w:r>
        <w:rPr>
          <w:rFonts w:ascii="Times New Roman" w:cs="Times New Roman" w:eastAsia="Times New Roman" w:hAnsi="Times New Roman"/>
          <w:sz w:val="18"/>
          <w:szCs w:val="18"/>
          <w:color w:val="auto"/>
        </w:rPr>
        <w:t xml:space="preserve"> Unlike other therapeutic approaches, Synthetic Biotics can be programmed with a unique mechanistic activity. For internal metabolic programs, we are engineering Synthetic Biotics with entire pathways designed to degrade or convert toxic metabolites. We believe that using a metabolizing pathway is advantageous compared to gene, RNA or enzyme replacement therapies because the latter are limited to targeting a single gene or protein defect and may require several unique drug products to address genetically heterogeneous patient populations. Compensating with an entire pathway delivered in bacteria Synthetic Biotics may provide a safe, therapeutic solution to broader disease populations as a single engineered therapeutic. Our clinical stage programs, SYNB1934, SYNB8802 and SYNB1353, are examples of Synthetic Biotics designed and engineered to eliminate metabolites from the GI tract and prevent their absorption.</w:t>
      </w:r>
    </w:p>
    <w:p>
      <w:pPr>
        <w:spacing w:after="0" w:line="80" w:lineRule="exact"/>
        <w:rPr>
          <w:rFonts w:ascii="Times New Roman" w:cs="Times New Roman" w:eastAsia="Times New Roman" w:hAnsi="Times New Roman"/>
          <w:sz w:val="18"/>
          <w:szCs w:val="18"/>
          <w:b w:val="1"/>
          <w:bCs w:val="1"/>
          <w:color w:val="auto"/>
        </w:rPr>
      </w:pPr>
    </w:p>
    <w:p>
      <w:pPr>
        <w:ind w:left="10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Production of Therapeutic Molecules:</w:t>
      </w:r>
      <w:r>
        <w:rPr>
          <w:rFonts w:ascii="Times New Roman" w:cs="Times New Roman" w:eastAsia="Times New Roman" w:hAnsi="Times New Roman"/>
          <w:sz w:val="18"/>
          <w:szCs w:val="18"/>
          <w:color w:val="auto"/>
        </w:rPr>
        <w:t xml:space="preserve"> Synthetic Biotics can also be programmed to produce beneficial molecules, such as bacterial metabolites that may improve disease or proteins that can be secreted from the bacteria into the local environment. Examples of this approach include production of short chain fatty acids (Reeves et al. DDW 2022), aryl hydrocarbon (AHR) agonists (Shu et al. DDW2022) and secretion of human IL-22 protein (Reeves et al. DDW 2022).</w:t>
      </w:r>
    </w:p>
    <w:p>
      <w:pPr>
        <w:spacing w:after="0" w:line="71" w:lineRule="exact"/>
        <w:rPr>
          <w:rFonts w:ascii="Times New Roman" w:cs="Times New Roman" w:eastAsia="Times New Roman" w:hAnsi="Times New Roman"/>
          <w:sz w:val="18"/>
          <w:szCs w:val="18"/>
          <w:b w:val="1"/>
          <w:bCs w:val="1"/>
          <w:color w:val="auto"/>
        </w:rPr>
      </w:pPr>
    </w:p>
    <w:p>
      <w:pPr>
        <w:ind w:left="102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Combinations of Mechanisms:</w:t>
      </w:r>
      <w:r>
        <w:rPr>
          <w:rFonts w:ascii="Times New Roman" w:cs="Times New Roman" w:eastAsia="Times New Roman" w:hAnsi="Times New Roman"/>
          <w:sz w:val="18"/>
          <w:szCs w:val="18"/>
          <w:color w:val="auto"/>
        </w:rPr>
        <w:t xml:space="preserve"> By incorporating multiple effectors or enzymes into a single strain, Synthetic Biotics have the potential to address multifactorial disease biology more effectively. For example, Synthetic Biotics can be engineered with multiple enzymes which convert toxic metabolites more effectively than a single effector could otherwise provide. Alternatively, pathways that degrade a metabolite of interest can be engineered into a Synthetic Biotic that also produces one or more therapeutic molecules.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Synthetic Biotics Have Potential to Reduce Safety Risks by Providing Local Therapeutic Delivery</w:t>
      </w:r>
    </w:p>
    <w:p>
      <w:pPr>
        <w:spacing w:after="0" w:line="121" w:lineRule="exact"/>
        <w:rPr>
          <w:sz w:val="20"/>
          <w:szCs w:val="20"/>
          <w:color w:val="auto"/>
        </w:rPr>
      </w:pPr>
    </w:p>
    <w:p>
      <w:pPr>
        <w:ind w:left="1020" w:right="260" w:firstLine="45"/>
        <w:spacing w:after="0" w:line="258" w:lineRule="auto"/>
        <w:rPr>
          <w:sz w:val="20"/>
          <w:szCs w:val="20"/>
          <w:color w:val="auto"/>
        </w:rPr>
      </w:pPr>
      <w:r>
        <w:rPr>
          <w:rFonts w:ascii="Times New Roman" w:cs="Times New Roman" w:eastAsia="Times New Roman" w:hAnsi="Times New Roman"/>
          <w:sz w:val="18"/>
          <w:szCs w:val="18"/>
          <w:color w:val="auto"/>
        </w:rPr>
        <w:t>We believe that when delivered locally, Synthetic Biotics have the potential to avoid the risks often associated with systemic therapies, especially when combinations of systemic therapies are required. Our Synthetic Biotic drug candidates are orally administered, and act locally while transiting through the gut. Consequently, they decrease toxic metabolite levels in the blood to provide a systemic therapeutic benefit to the patient. Given the potential for chronic oral dosing, Synthetic Biotics may have benefits in terms of dose prediction and reversibility of activity.</w:t>
      </w:r>
    </w:p>
    <w:p>
      <w:pPr>
        <w:spacing w:after="0" w:line="7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Synthetic Biotic Approach is a Favorable Engine for Pharmacology</w:t>
      </w:r>
    </w:p>
    <w:p>
      <w:pPr>
        <w:spacing w:after="0" w:line="121" w:lineRule="exact"/>
        <w:rPr>
          <w:rFonts w:ascii="Times New Roman" w:cs="Times New Roman" w:eastAsia="Times New Roman" w:hAnsi="Times New Roman"/>
          <w:sz w:val="18"/>
          <w:szCs w:val="18"/>
          <w:b w:val="1"/>
          <w:bCs w:val="1"/>
          <w:color w:val="auto"/>
        </w:rPr>
      </w:pPr>
    </w:p>
    <w:p>
      <w:pPr>
        <w:ind w:left="102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Features of our Synthetic Biotic product engine enable a highly efficient drug discovery and development with the potential of advancing clinical candidates more rapidly and efficiently than traditional approaches. Reasons for this include:</w:t>
      </w:r>
    </w:p>
    <w:p>
      <w:pPr>
        <w:spacing w:after="0" w:line="51" w:lineRule="exact"/>
        <w:rPr>
          <w:rFonts w:ascii="Times New Roman" w:cs="Times New Roman" w:eastAsia="Times New Roman" w:hAnsi="Times New Roman"/>
          <w:sz w:val="18"/>
          <w:szCs w:val="18"/>
          <w:b w:val="1"/>
          <w:bCs w:val="1"/>
          <w:color w:val="auto"/>
        </w:rPr>
      </w:pPr>
    </w:p>
    <w:p>
      <w:pPr>
        <w:ind w:left="1780" w:hanging="515"/>
        <w:spacing w:after="0" w:line="254" w:lineRule="auto"/>
        <w:tabs>
          <w:tab w:leader="none" w:pos="1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 coli </w:t>
      </w:r>
      <w:r>
        <w:rPr>
          <w:rFonts w:ascii="Times New Roman" w:cs="Times New Roman" w:eastAsia="Times New Roman" w:hAnsi="Times New Roman"/>
          <w:sz w:val="18"/>
          <w:szCs w:val="18"/>
          <w:color w:val="auto"/>
        </w:rPr>
        <w:t>Nissle chassis is used across programs. Because our lead programs are based on</w:t>
      </w:r>
      <w:r>
        <w:rPr>
          <w:rFonts w:ascii="Times New Roman" w:cs="Times New Roman" w:eastAsia="Times New Roman" w:hAnsi="Times New Roman"/>
          <w:sz w:val="18"/>
          <w:szCs w:val="18"/>
          <w:i w:val="1"/>
          <w:iCs w:val="1"/>
          <w:color w:val="auto"/>
        </w:rPr>
        <w:t xml:space="preserve"> E. coli </w:t>
      </w:r>
      <w:r>
        <w:rPr>
          <w:rFonts w:ascii="Times New Roman" w:cs="Times New Roman" w:eastAsia="Times New Roman" w:hAnsi="Times New Roman"/>
          <w:sz w:val="18"/>
          <w:szCs w:val="18"/>
          <w:color w:val="auto"/>
        </w:rPr>
        <w:t>Nissle, experience can be leveraged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broadly across the portfolio to further optimize the efficiency and reproducibility of discovery, development and manufacturing efforts. The non-colonizing nature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can be combined with engineering approaches to enhance safety in terms of impact on the patient and the environment.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can be engineered to require a specific exogenous nutrient supplement for growth, which limits the ability to replicate in the human body and environment. By controlling replication, we can control the number of cells being administered to a patient, which limits patient-to-patient variability. Also, dependence on an essential nutritional supplement not available in the environment reduces biocontainment risk. In addition, our chassis can be engineered to remove genes responsible for the production of the potential genotoxin colibactin, as an added safety features (Kalantari et al. Plos One 2023).</w:t>
      </w:r>
    </w:p>
    <w:p>
      <w:pPr>
        <w:spacing w:after="0" w:line="82" w:lineRule="exact"/>
        <w:rPr>
          <w:rFonts w:ascii="Times New Roman" w:cs="Times New Roman" w:eastAsia="Times New Roman" w:hAnsi="Times New Roman"/>
          <w:sz w:val="18"/>
          <w:szCs w:val="18"/>
          <w:color w:val="auto"/>
        </w:rPr>
      </w:pPr>
    </w:p>
    <w:p>
      <w:pPr>
        <w:ind w:left="1780" w:right="120" w:hanging="515"/>
        <w:spacing w:after="0" w:line="258" w:lineRule="auto"/>
        <w:tabs>
          <w:tab w:leader="none" w:pos="1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pharmacology and biomarkers. Synthetic Biotic programs are designed to achieve a target activity and support an iterative design-build-test cycle to improve performance for achieving this target. For example, Synthetic Biotic programs can be optimized by including multiple copies or regulated control of certain genes, by adding transporters for particular substrates or by optimizing enzymes for basic bacterial metabolism. These tools enable rational and iterative engineering cycles in the discovery phase.</w:t>
      </w:r>
    </w:p>
    <w:p>
      <w:pPr>
        <w:spacing w:after="0" w:line="75" w:lineRule="exact"/>
        <w:rPr>
          <w:rFonts w:ascii="Times New Roman" w:cs="Times New Roman" w:eastAsia="Times New Roman" w:hAnsi="Times New Roman"/>
          <w:sz w:val="18"/>
          <w:szCs w:val="18"/>
          <w:color w:val="auto"/>
        </w:rPr>
      </w:pPr>
    </w:p>
    <w:p>
      <w:pPr>
        <w:ind w:left="1780" w:right="20" w:hanging="515"/>
        <w:spacing w:after="0" w:line="266" w:lineRule="auto"/>
        <w:tabs>
          <w:tab w:leader="none" w:pos="1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Biomarkers as indicators of mechanistic and clinical activity may also be engineered into Synthetic Biotics to drive optimization and decision-making. By assessing the activities of our Synthetic Biotic programs using in vitro and in vivo preclinical models, we can model activity in humans. As we progress through clinical studies,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left="1780" w:right="120"/>
        <w:spacing w:after="0" w:line="282" w:lineRule="auto"/>
        <w:rPr>
          <w:sz w:val="20"/>
          <w:szCs w:val="20"/>
          <w:color w:val="auto"/>
        </w:rPr>
      </w:pPr>
      <w:r>
        <w:rPr>
          <w:rFonts w:ascii="Times New Roman" w:cs="Times New Roman" w:eastAsia="Times New Roman" w:hAnsi="Times New Roman"/>
          <w:sz w:val="18"/>
          <w:szCs w:val="18"/>
          <w:color w:val="auto"/>
        </w:rPr>
        <w:t>we expect our predictive pharmacology models are further refined to inform dosing and development decisions for our additional programs.</w:t>
      </w:r>
    </w:p>
    <w:p>
      <w:pPr>
        <w:spacing w:after="0" w:line="54" w:lineRule="exact"/>
        <w:rPr>
          <w:sz w:val="20"/>
          <w:szCs w:val="20"/>
          <w:color w:val="auto"/>
        </w:rPr>
      </w:pPr>
    </w:p>
    <w:p>
      <w:pPr>
        <w:ind w:left="1780" w:right="20" w:hanging="515"/>
        <w:spacing w:after="0" w:line="258" w:lineRule="auto"/>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and manufacturing. Starting from known principles of manufacturing helps de-risk Synlogic’s proprietary large-scale manufacturing platform. Our lead Synthetic Biotic programs have advanced the platform by defining manufacturing processes that can be used for the entire portfolio. Our use of synthetic biology switches permits the precise control of engineered metabolic pathway activation. We use switches to suppress effector activity during manufacturing, enabling development of reproducible processes for biomass generation while maintaining robust and cost-efficient scale up of product candidates.</w:t>
      </w:r>
    </w:p>
    <w:p>
      <w:pPr>
        <w:spacing w:after="0" w:line="75" w:lineRule="exact"/>
        <w:rPr>
          <w:rFonts w:ascii="Times New Roman" w:cs="Times New Roman" w:eastAsia="Times New Roman" w:hAnsi="Times New Roman"/>
          <w:sz w:val="18"/>
          <w:szCs w:val="18"/>
          <w:color w:val="auto"/>
        </w:rPr>
      </w:pPr>
    </w:p>
    <w:p>
      <w:pPr>
        <w:jc w:val="both"/>
        <w:ind w:left="1780" w:right="80" w:hanging="515"/>
        <w:spacing w:after="0" w:line="289" w:lineRule="auto"/>
        <w:tabs>
          <w:tab w:leader="none" w:pos="1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campaigns have demonstrated production reproducibility and robustness at multiple scales. The stability profile of our material has translated through the development and scale up efforts, supporting the shelf life of our strains. The implemented late stage and scale up capabilities have enabled us to produce 10,000 to 15,000 drug product doses at multiple strengths.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To accelerate the development and commercialization of Synthetic Biotics to patients, we have formed strategic alliances with collaborators that can expand our pipeline of therapeutic development and product candidates.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w:t>
      </w:r>
    </w:p>
    <w:p>
      <w:pPr>
        <w:spacing w:after="0" w:line="13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June 2021, we entered into a Pilot Collaboration and Option Agreement (the Roche Collaboration and Option Agreement) with F. Hoffmann-La Roche Ltd (Roche Basel) and Hoffmann-La Roche Inc. (Roche US, and together with Roche Basel, Roche). Under the terms of the Roche Collaboration and Option Agreement, we and Roche sought to collaborate to research and pre-clinically develop Synthetic Biotics for addressing an undisclosed novel target for the treatment of inflammatory bowel disease.</w:t>
      </w:r>
    </w:p>
    <w:p>
      <w:pPr>
        <w:spacing w:after="0" w:line="22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Pursuant to the Roche Collaboration and Option Agreement, Roche agreed to pay us an upfront, nonrefundable technology access fee of $1.0 million, which we received in July 2021. In August 2022, the Company completed the research and development services for the second phase of the research plan and achieved a milestone payment of $1.5 million, which was paid by Roche in October 2022. In October 2023, the Company completed the research and development services for the third phase of the research plan and achieved a milestone payment of $2.5 million, which was paid by Roche in December 2023. The Roche Collaboration and Option Agreement concluded when Roche did not exercise its exclusive option to enter into a licensing and collaboration agreement for further development and commercialization of the product candidate.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Ginkgo Bioworks, Inc.</w:t>
      </w:r>
    </w:p>
    <w:p>
      <w:pPr>
        <w:spacing w:after="0" w:line="13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June 2019, we entered into an agreement with Ginkgo. The agreement provided an $80 million equity investment at a premium in Synlogic by Ginkgo and entry into a long-term strategic platform collaboration to expand and accelerate the development of Synlogic’s pipeline of Synthetic Biotics. We are using Ginkgo’s cell programming platform to build and test thousands of microbial strains to accelerate progression of early preclinical leads to drug candidates optimized for further clinical development.</w:t>
      </w:r>
    </w:p>
    <w:p>
      <w:pPr>
        <w:spacing w:after="0" w:line="22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part of the agreement, Ginkgo purchased 422,718 shares of our common stock and accompanying Pre-Funded Warrants (the Pre-Funded Warrants) to purchase up to 169,874 shares of our common stock, at a combined price of $135.00 per share and Pre-Funded Warrant. Gross proceeds were approximately $80 million. Under the agreement, we made a prepayment to Ginkgo of $30 million for its foundry services that are being provided to us over an initial term of five years, which can be extended. Upon the expiration of such initial term and, if applicable, such additional period, any portion of our prepayment that has not been used to purchase services from Ginkgo will be retained by Ginkgo. We have exclusive rights to any Synthetic Biotics that we develop as part of the collaboration and to intellectual property covering such products.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Technology Licenses</w:t>
      </w:r>
    </w:p>
    <w:p>
      <w:pPr>
        <w:spacing w:after="0" w:line="13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certain jurisdictions outside of the United States related to our proprietary technology, inventions, improvements, and product candidates that are important to the development and implementation of our business.</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also rely on trade secrets and know-how relating to our proprietary technology and product candidates, continuing innovation, and in-licensing opportunities to develop, strengthen, and maintain our proprietary position in the field of synthetic</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6" w:name="page17"/>
    <w:bookmarkEnd w:id="16"/>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biology. We additionally rely on data exclusivity, market exclusivity, and patent term extensions when available, and plan to rely on additional regulatory protection afforded through orphan drug designations when applicable.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we are well positioned in terms of intellectual property because we:</w:t>
      </w:r>
    </w:p>
    <w:p>
      <w:pPr>
        <w:spacing w:after="0" w:line="117" w:lineRule="exact"/>
        <w:rPr>
          <w:sz w:val="20"/>
          <w:szCs w:val="20"/>
          <w:color w:val="auto"/>
        </w:rPr>
      </w:pPr>
    </w:p>
    <w:p>
      <w:pPr>
        <w:ind w:left="1020" w:right="3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built and expanded, and intend to continue expansion in, a broad worldwide portfolio of intellectual property, including patents and patent applications, in areas relevant to the development, manufacturing and formulation of human therapeutic products using live biotherapeutics based on synthetic biology; and</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 to take additional steps, where appropriate, to further protect our intellectual property rights, including, for example, through the use of copyright and trademark protection, as well as regulatory protection available via orphan drug designations, data exclusivity, market exclusivity and patent term extensions.</w:t>
      </w:r>
    </w:p>
    <w:p>
      <w:pPr>
        <w:spacing w:after="0" w:line="21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our intellectual property portfolio provides broad coverage of our Synthetic Biotic platform and applicable disease-related technologies. As of March 12, 2024, we had over 200 Synlogic-owned patents and patent applications in U.S. and foreign jurisdictions, of which over 75 have been issued or allowed.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Synlogic Intellectual Property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Disease-related applications</w:t>
      </w:r>
    </w:p>
    <w:p>
      <w:pPr>
        <w:spacing w:after="0" w:line="13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disease-related applications in our intellectual property portfolio relate to certain pathological conditions including, but not limited to , hyperphenylalaninemia, hyperoxaluria, homocystinuria, hyperuricemia, hyperammonemia, certain other inherited metabolic diseases and conditions, metabolic disorders, diseases and conditions associated with an inflammatory state, diseases associated with gut inflammation, compromised gut mucosal barrier (leaky gut), and various autoimmune disorders and provide coverage for engineered bacteria having genetic circuitry designed to specifically address those conditions and the associated disease states. The intellectual property portfolio provides coverage for engineered bacterial strain compositions, related formulations, methods of making the bacterial strains, methods of measuring strain activity, and methods for treating diseases. Currently, intellectual property relating to this technology includes pending applications in U.S. and foreign jurisdictions, as well as several issued U.S. patents directed to composition of matter and pharmaceutical composition claims covering our clinical candidates. The patent term for our current patents and patent applications have expiration dates ranging from December 2035 to December 2044, depending on the indication and excluding any patent term adjustments or extensions.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Technology Applications</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disease-specific technology, Synlogic has also developed a number of technologies broadly applicable across the Synlogic platform. We rely on a combination of patent application and trade secrets to protect our platform intellectual property. Exemplary platform technologies include our unique upstream and downstream GMP manufacturing processes, bacterial chassis-related and genetic circuitry-related technological developments, including, for example, improvements in inducible gene regulation, control of bacterial cell growth, and systems for importing metabolites, as well as systems for prevention of production of potentially genotoxic metabolites. These platform technologies, and our intellectual property coverage thereof, are broadly applicable to our therapeutic Synthetic Biotics.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Considerations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non-provisional filing date. In addition, in certain instances, a patent term can be extended to account for delays in prosecution at the U.S. Patent and Trademark Office (USPTO) and/or to recapture a portion of the term effectively lost as a result of the FDA regulatory review period. For regulatory delays,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7" w:name="page18"/>
    <w:bookmarkEnd w:id="17"/>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patent positions of companies like us are generally uncertain and involve complex legal and factual questions. No consistent policy regarding the scope of claims allowable in patents in the field of synthetic biology has emerged in the United States. The patent situation outside of the United States is even more uncertain.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the future will be commercially useful in protecting our products and the methods used to manufacture those products. For additional risks, please see the section entitled “Risk Factors—Risks Related to Intellectual Property.”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registered trademark portfolio currently contains over 40 registered or allowed trademarks.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Generally, we seek to protect our technology and product candidates, in part, by entering into confidentiality agreements with those who have access to our confidential information, including employees, contractors, consultants, collaborators, and advisors. In some circumstances, we may rely on trade secrets to protect our technology. We seek to preserve the integrity and confidentiality of our proprietary technology, trade secrets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company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entitled “Risk Factors—Risks Related to Intellectual Property.”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13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 keeping, promotion, advertising, distribution, marketing and export and import of products such as those we are developing. A new drug must be approved by the FDA through the New Drug Application (NDA) process and a new biologic must be approved by the FDA through the Biologics License Application (BLA), process before such products may be legally marketed in the United States.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and biologics under the Federal Food, Drug, and Cosmetic Act (FDCA) and in the case of biologics, also under the Public Health Service Act (PHSA) and implementing regulations. Our product candidates will be regulated by the FDA as biologics. The process of obtaining regulatory approvals and the subsequent compliance with applicable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license revocation,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 may be marketed in the United States generally involves the following:</w:t>
      </w:r>
    </w:p>
    <w:p>
      <w:pPr>
        <w:spacing w:after="0" w:line="94" w:lineRule="exact"/>
        <w:rPr>
          <w:sz w:val="20"/>
          <w:szCs w:val="20"/>
          <w:color w:val="auto"/>
        </w:rPr>
      </w:pPr>
    </w:p>
    <w:p>
      <w:pPr>
        <w:ind w:left="900" w:right="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required preclinical (or nonclinical) laboratory tests, animal studies and formulation studies performed in accordance with Good Laboratory Practice (GLP) and other applicable regulations;</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shipment of investigational product for human clinical trials may begin;</w:t>
      </w:r>
    </w:p>
    <w:p>
      <w:pPr>
        <w:spacing w:after="0" w:line="6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trial site before each clinical trial may be initiated;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8" w:name="page19"/>
    <w:bookmarkEnd w:id="18"/>
    <w:p>
      <w:pPr>
        <w:ind w:left="900" w:right="20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performed in accordance with applicable IND regulations, Good Clinical Practice (GCP), and other clinical-trial related regulations to evaluate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Manufacturing Practice (GMP) to prepare a drug substance and drug product analyzed using validated analytical methods;</w:t>
      </w:r>
    </w:p>
    <w:p>
      <w:pPr>
        <w:spacing w:after="0" w:line="11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approval of a companion diagnostic device, if the FDA or the sponsor believes that its use is essential for the safe and effective use of a corresponding product;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marketing approval, including payment of application user fees;</w:t>
      </w:r>
    </w:p>
    <w:p>
      <w:pPr>
        <w:spacing w:after="0" w:line="11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biologic is produced to assess compliance with current Good Manufacturing Practice (cGMP) regulations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to assure compliance with GCP and the integrity of the clinical data submitted in support of the BLA; and</w:t>
      </w:r>
    </w:p>
    <w:p>
      <w:pPr>
        <w:spacing w:after="0" w:line="5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including satisfactory completion of an FDA advisory committee review of the product candidate, where appropriate or if applicable, prior to any commercial marketing or sale of the product in the United States.</w:t>
      </w:r>
    </w:p>
    <w:p>
      <w:pPr>
        <w:spacing w:after="0" w:line="20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Once a pharmaceutical candidate is identified for development, it enters the preclinical testing stage. Preclinical tests include laboratory evaluations of product chemistry and formulation, animal toxicity and pharmacology studies to assess the potential for adverse events and in some cases to establish a rationale for therapeutic use. The Consolidated Appropriations Act for 2023, signed into law on December 29, 2022, (P.L. 117-328) amended the FDCA and the Public Health Service Act to specify that nonclinical testing for drugs and biologics may, but is not required to, include in vivo animal testing. According to the amended language, a sponsor may fulfill nonclinical testing requirements by completing various in vitro assays (e.g., cell-based assays, organ chips, or microphysiological systems), in silico studies (i.e., computer modeling), other human or nonhuman biology-based tests (e.g., bioprinting), or in vivo animal tests. The conduct of preclinical studies is subject to federal regulations and requirements, including GLP regulations for safety/toxicology studies.</w:t>
      </w:r>
    </w:p>
    <w:p>
      <w:pPr>
        <w:spacing w:after="0" w:line="2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 IND sponsor must submit the results of the preclinical tests, together with manufacturing information and analytical data, to the FDA as part of the IND. In June 2016, the FDA issued an updated guidance for the industry entitled “Early Clinical Trials with Live Biotherapeutic Products: Chemistry, Manufacturing and Control Information,” which included recommendations from the FDA regarding the chemistry, manufacturing and control information that should be included in an IND for early clinical trials with live biotherapeutic products. This guidance reflects the FDA’s thinking on the topic at the time the guidance was issued and although it is not binding on the FDA or a sponsor, it provided us with additional information about what should be included in INDs for our Synthetic Biotic product candidates. The sponsor will also include in the IND a protocol detailing, among other things, the objectives of the clinical trial, the parameters to be used in monitoring safety, and the effectiveness criteria to be evaluated, if a first phase study lends itself to an efficacy evaluation. Some long-term preclinical testing, such as animal tests of reproductive adverse events and carcinogenicity, may continue after an IND for an investigational product candidate is submitted to the FDA and human clinical trials have been initiated.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22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and in accordance with GCP requirements. They must be conducted under protocols detailing the objectives of the trial, dosing procedures, subject selection and exclusion criteria and the safety and effectiveness criteria to be evaluated. Each protocol must be submitted to the FDA as part of the IND, and timely safety reports must be submitted to the FDA and the investigators for serious and unexpected adverse events.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rules and regulations. Study subjects must sign the IRB-approved informed consent form in order to participate in the clinical trial.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an IRB representing each institution that is participating in the clinical trial must review and approve the plan for any clinical trial before it commences at that institution, and the IRB must conduct a continuing review and reapprove the trial at least annually. The IRB must review and approve, among other things, the trial protocol and informed consent information to be provided to clinical trial subjects. An IRB must operate in compliance with FDA regulations.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400" w:right="60" w:hanging="374"/>
        <w:spacing w:after="0" w:line="261" w:lineRule="auto"/>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and tested for safety, dosage tolerance, absorption, metabolism, distribution and excretion. In the case of some products for severe or life-threatening diseases, such as cancer, especially when the product candidate may be too inherently toxic to ethically administer to healthy volunteers, the initial human testing is usually conducted in patients.</w:t>
      </w:r>
    </w:p>
    <w:p>
      <w:pPr>
        <w:spacing w:after="0" w:line="71" w:lineRule="exact"/>
        <w:rPr>
          <w:rFonts w:ascii="Times New Roman" w:cs="Times New Roman" w:eastAsia="Times New Roman" w:hAnsi="Times New Roman"/>
          <w:sz w:val="18"/>
          <w:szCs w:val="18"/>
          <w:color w:val="auto"/>
        </w:rPr>
      </w:pPr>
    </w:p>
    <w:p>
      <w:pPr>
        <w:ind w:left="1400" w:right="60" w:hanging="374"/>
        <w:spacing w:after="0" w:line="266" w:lineRule="auto"/>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This phase involves clinical trials in a limited patient population to identify possible adverse effects and safety risks, to preliminarily evaluate the efficacy of the product candidate for specific targeted diseases and to determine dosage tolerance and optimal dosage.</w:t>
      </w:r>
    </w:p>
    <w:p>
      <w:pPr>
        <w:spacing w:after="0" w:line="6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Larger clinical trials are undertaken to further evaluate dosage, clinical efficacy and safety in an expanded patient population,</w:t>
      </w:r>
    </w:p>
    <w:p>
      <w:pPr>
        <w:spacing w:after="0" w:line="27" w:lineRule="exact"/>
        <w:rPr>
          <w:rFonts w:ascii="Times New Roman" w:cs="Times New Roman" w:eastAsia="Times New Roman" w:hAnsi="Times New Roman"/>
          <w:sz w:val="18"/>
          <w:szCs w:val="18"/>
          <w:color w:val="auto"/>
        </w:rPr>
      </w:pPr>
    </w:p>
    <w:p>
      <w:pPr>
        <w:ind w:left="1400"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often at geographically dispersed clinical study sites. These clinical trials are intended to establish the overall risk: benefit ratio of the product candidate and provide, if appropriate, an adequate basis for product labeling. These trials may include comparisons with placebo and/or other comparator treatments. The duration of treatment is often extended to mimic the actual use of a product during marketing.</w:t>
      </w:r>
    </w:p>
    <w:p>
      <w:pPr>
        <w:spacing w:after="0" w:line="229"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w:t>
      </w:r>
    </w:p>
    <w:p>
      <w:pPr>
        <w:spacing w:after="0" w:line="21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the Consolidated Appropriations Act for 2023, Congress amended the FDCA to require sponsors of a Phase 3 clinical trial, or other “pivotal study” of a new drug to support marketing authorization, to submit a diversity action plan for such clinical trial. The action plan must include the sponsor’s diversity goals for enrollment, as well as a rationale for the goals and a description of how the sponsor will meet them. A sponsor must submit a diversity action plan to FDA by the time the sponsor submits the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FDA objects to a sponsor’s diversity action plan and requires the sponsor to amend the plan or take other actions, it may delay trial initiation.</w:t>
      </w:r>
    </w:p>
    <w:p>
      <w:pPr>
        <w:spacing w:after="0" w:line="216"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clinical protocol, cGMP or IRB requirements or if the product candidate has been associated with unexpected serious harm to patients. Additionally,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Phase 1, Phase 2, and Phase 3 clinical testing may not be completed successfully within any specified period, if at all.</w:t>
      </w:r>
    </w:p>
    <w:p>
      <w:pPr>
        <w:spacing w:after="0" w:line="20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During the development of a new biologic, sponsors have the opportunity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with the FDA and to present their plans for the pivotal Phase 3 clinical trial that they believe will support approval of the investigational biologic. If this type of discussion occurs, a sponsor may be able to request a Special Protocol Assessment (SPA), the purpose of which is to reach agreement with the FDA on the design of the Phase 3 clinical trial protocol design and analysis that will form the primary basis of an efficacy claim.</w:t>
      </w:r>
    </w:p>
    <w:p>
      <w:pPr>
        <w:spacing w:after="0" w:line="189"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the additional animal studies that may be required for approval and must also develop additional information about the chemistry and physical characteristics of the biologic and finalize a process for manufacturing the product in commercial quantities in accordance with cGMP requirements. The manufacturing process must be capable of consistently producing acceptable quality batches of the product candidate and, among other things the manufacturer must develop methods for testing the identity, strength, quality and purity of the final product. Additionally, appropriate packaging must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0" w:name="page21"/>
    <w:bookmarkEnd w:id="20"/>
    <w:p>
      <w:pPr>
        <w:ind w:right="160"/>
        <w:spacing w:after="0" w:line="282" w:lineRule="auto"/>
        <w:rPr>
          <w:sz w:val="20"/>
          <w:szCs w:val="20"/>
          <w:color w:val="auto"/>
        </w:rPr>
      </w:pPr>
      <w:r>
        <w:rPr>
          <w:rFonts w:ascii="Times New Roman" w:cs="Times New Roman" w:eastAsia="Times New Roman" w:hAnsi="Times New Roman"/>
          <w:sz w:val="18"/>
          <w:szCs w:val="18"/>
          <w:color w:val="auto"/>
        </w:rPr>
        <w:t>selected and tested and stability studies must be conducted to demonstrate that the product candidate does not undergo unacceptable deterioration over its shelf life.</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While the IND is active and before approval, progress reports must be submitted at least annually to the FDA, and written IND safety reports must be submitted to the FDA and investigators for serious and unexpected suspected adverse reactions,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The annual report is customarily submitted in the form of a Development Safety Update Report (DSUR) which is accepted as being equivalent to an IND Annual Report and also meets requirements of the EU (European Union) and International Conference on Harmonization (ICH).</w:t>
      </w:r>
    </w:p>
    <w:p>
      <w:pPr>
        <w:spacing w:after="0" w:line="22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trial results to public registries. Sponsors of most clinical trials of FDA-regulated products are required to register and disclose specified clinical trial information, which is publicly available at ClinicalTrials.gov. Information related to the product, patient population, phase of investigation, trial sites and investigators and other aspects of the clinical trial is then made public as part of the registration. Sponsors are also obligated to submit the results of their clinical trials after completion, but disclosure of the results can be delayed in some cases for up to two years after the date of completion of the trial. Competitors may use this publicly available information to gain knowledge regarding the progress of development programs.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NIH and FDA recently began enforcing those requirements against non-compliant clinical trial sponsors.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3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nonclinical studies and clinical trials, along with detailed information relating to the product’s chemistry, manufacturing, and controls, stability, quality control and product release procedures, proposed labeling, and other relevant information are submitted to the FDA as part of a BLA, requesting approval to market the product for one or more indications. The submission of a BLA is subject to the payment of a significant user fee (for example, for FY2024 this application fee exceeds $4 million); although a waiver of such fee may be obtained under certain limited circumstances, including where the biologic has been designated as an orphan drug. The sponsor of an approved BLA is also subject to an annual program fee, currently more than $415,000 per program. These fees are typically increased annually, but exemptions and waivers may be available under certain circumstances (such as a waiver for the first human drug application submitted by a qualifying small business and exemptions for orphan products).</w:t>
      </w:r>
    </w:p>
    <w:p>
      <w:pPr>
        <w:spacing w:after="0" w:line="23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FDA reviews all BLAs submitted to ensure that they are sufficiently complete for substantive review before it accepts them for filing. The FDA may request additional information rather than accept a BLA for filing. In this event, the BLA must be resubmitted with the additional information. The resubmitted application also is subject to review before the FDA accepts it for filing. Once the submission is accepted for filing, the FDA begins an in-depth substantive review.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and a sponsor’s process to respond to such inquiries. Specifically, the review process may be extended by the FDA for three additional months to consider new information or in the case of a clarification provided by the applicant to address an outstanding deficiency identified by the FDA following the original submission.</w:t>
      </w:r>
    </w:p>
    <w:p>
      <w:pPr>
        <w:spacing w:after="0" w:line="20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Before approving a BLA, the FDA will typically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adequate to assure consistent production of the product within required specifications. These pre-approval inspections may cover all facilities associated with the BLA submission, including component manufacturing, finished product manufacturing, and control testing laboratories. The FDA also may inspect the sponsor and one or more clinical trial sites to assure compliance with GCP requirements and the integrity of the clinical data submitted to the FDA.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for example, determine the data generated by the clinical site should be excluded from the primary efficacy analyses provided in the BLA.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1" w:name="page22"/>
    <w:bookmarkEnd w:id="21"/>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FDA may refer any BLA including applications for novel biologic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if so, under what conditions. The FDA is not bound by the recommendation of an advisory committee, but it considers such recommendations when making final decisions on approval.</w:t>
      </w:r>
    </w:p>
    <w:p>
      <w:pPr>
        <w:spacing w:after="0" w:line="19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approval process is lengthy and often difficult, and the FDA may refuse to approve a BLA if the applicable regulatory criteria are not satisfied or may require additional clinical or other data and information. Even if such data and information are submitted, the FDA may ultimately decide that the BLA does not satisfy the criteria for approval. Data obtained from clinical trials are not always conclusive and the FDA may interpret data differently than we interpret the same data. After the FDA evaluates a BLA, it will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BLA identified by the FDA and may require additional clinical data, such as an additional pivotal Phase 3 trial or other significant and time-consuming requirements related to clinical trials,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 The FDA reviews a BLA to determine, among other things, whether the product is safe, pure, potent and effective and the facility in which it is manufactured, processed, packed or held meets standards designed to assure the product’s continued identity, strength, quality, potency and purity.</w:t>
      </w:r>
    </w:p>
    <w:p>
      <w:pPr>
        <w:spacing w:after="0" w:line="20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a product receives regulatory approval, the approval is limited to the conditions of use (e.g., patient population, indication) described in the BLA, which could restrict the commercial value of the product. Further, depending on the specific risk(s) to be addressed, the FDA may require that contraindications, warnings or precautions be included in the product labeling, require a sponsor to conduct Phase 4 testing which involves clinical trials designed to further assess a drug’s safety and effectiveness after BLA approval and may require testing and surveillance programs to monitor the safety of approved products which have been commercialized. The FDA may also place other conditions on approval including the requirement for a REMS (Risk Evaluation and Mitigation Strategies), to assure the safe use of the drug.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spacing w:after="0" w:line="20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Under the Pediatric Research Equity Act (PREA), as amended, an initial BLA or certain supplements to a BLA for a novel product must contain data to assess 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pediatric data until after approval of the product for use in adults or full or partial waivers from the pediatric data requirement. Unless otherwise required by regulation, PREA does not typically apply to any therapeutic product for an indication for which orphan designation has been granted. The Food and Drug Administration Safety and Innovation Act (FDASIA), enacted in 2012, made permanent the PREA requirement that a sponsor who is planning to submit a marketing application for a product that includes a new active ingredient, new indication, new dosage form, new dosing regimen or new route of administration must submit an initial Pediatric Study Plan (PSP),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13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drugs, some of our U.S. patents may be eligible for limited patent term extension under the Drug Price Competition and Patent Term Restoration Act of 1984 (referred to as the Hatch Waxman Amendments). The Hatch 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 half the time between the effective date of an IND, and the submission date of a BLA, plus the time between the submission date of a BLA and the approval of that application. Only one patent applicable to an approved drug is eligible for the extension, and the extension must be applied for, prior to expiration of the patent. The USPTO, in consultation with the FDA, reviews and approves the application for any patent term extension or restoration. In the future, we intend to apply for restorations of patent term for some of its currently-owned or licensed patents to add patent life beyond their current expiration date, depending on the expected length of clinical trials and other factors involved in the filing of the relevant BLA.</w:t>
      </w:r>
    </w:p>
    <w:p>
      <w:pPr>
        <w:spacing w:after="0" w:line="2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Pediatric exclusivity is a type of non-patent marketing exclusivity available in the United States, and, if granted, it provides for the attachment of an additional six months of marketing protection to the term of any existing regulatory exclusivity or listed patents. This six-month exclusivity may be granted if an NDA/BLA sponsor submits clinical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the same drug/biologic. The issuance of a written request does not require the sponsor to undertake the described clinical trials. To date, we have not received or requested any FDA written requests.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Price Competition and Innovation Act of 2009</w:t>
      </w:r>
    </w:p>
    <w:p>
      <w:pPr>
        <w:spacing w:after="0" w:line="13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Affordability Reconciliation Act of 2010 (collectively, ACA), which included the Biologics Price Competition and Innovation Act (BPCIA), amended the PHSA to create an abbreviated approval pathway for biological products that are biosimilar to or interchangeable with an FDA-licensed reference biological product. A biosimilar product is defined as one that is highly similar to a reference product notwithstanding minor differences in clinically-inactive components and for which there are no clinically meaningful differences between the biological product and the reference product in terms of the safety, purity and potency of the product. An interchangeable product is a biosimilar product that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w:t>
      </w:r>
    </w:p>
    <w:p>
      <w:pPr>
        <w:spacing w:after="0" w:line="235"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Under the BPCIA, a manufacturer may submit an abbreviated application for licensure of a biologic that is biosimilar to or interchangeable with an FDA-licensed reference biological product. This abbreviated approval pathway is intended to permit a biosimilar to come to market more quickly and less expensively than if a “full” BLA were submitted, by relying to some extent on the FDA’s previous review and approval of the reference biologic to which the proposed product is similar.</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Under the abbreviated approval pathway, the biosimilar applicant must demonstrate that the product is biosimilar based on data from (1) analytical studies showing that the biosimilar product is highly similar to the reference product; (2) animal studies (including toxicity); and (3) one or more clinical trials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224"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 reference biological product is granted 12 years of data exclusivity from the time of first licensure of the product, and the first approved interchangeable biologic product will be granted an exclusivity period of up to one year after it is first commercially marketed. If pediatric studies are performed and accepted by the FDA as responsive to a Written Request, the 12-year exclusivity period will be extended for an additional six months.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3" w:name="page24"/>
    <w:bookmarkEnd w:id="23"/>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BPCIA is complex and is still being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21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To date, the FDA has approved a number of biosimilars, and numerous biosimilars have been approved in Europe. The FDA has also issued several guidance documents outlining its approach to reviewing and approving biosimilars and interchangeable biosimilars.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defined as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 BLA. After the FDA grants orphan drug designation, the identity of the therapeutic agent and its potential orphan use will be disclosed publicly by the FDA; the posting will also indicate whether a drug is no longer designated as an orphan drug. More than one product candidate may receive an orphan drug designation for the same indication. The benefits of orphan drug designation include research and development tax credits and exemption from FDA prescription drug user fees. Orphan drug designation, however, does not convey any advantage in or shorten the duration of the regulatory review and approval process.</w:t>
      </w:r>
    </w:p>
    <w:p>
      <w:pPr>
        <w:spacing w:after="0" w:line="23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that receives orphan designation receives the first FDA approval for the orphan indication, the product is entitled to orphan drug exclusivity, which means that for seven years, the FDA is prohibited from approving any other applications to market the same drug or biological product for the same indication, except in limited circumstances described further below. Orphan exclusivity does not block the approval of a different drug or biologic for the same rare disease or condition, nor does it block the approval of the same drug or biologic for different conditions. As a result, even if one of our product candidates receive orphan exclusivity, the FDA can still approve different drugs or biologics for use in treating the same indication or disease, which could create a more competitive market for us. Additionally, if a drug or biologic designated as an orphan product receives marketing approval for an indication broader than what was designated, it may not be entitled to orphan drug exclusivity.</w:t>
      </w:r>
    </w:p>
    <w:p>
      <w:pPr>
        <w:spacing w:after="0" w:line="21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Orphan exclusivity will not bar approval of another product with the same drug or biologic for the same condition under certain circumstances, including if a subsequent product with the same drug or biologic for the same condition is shown to be clinically superior to the approved product on the basis of greater efficacy or safety or a major contribution to patient care, or if the company with orphan drug exclusivity cannot assure the availability of sufficient quantities of the drug or biologic to meet the needs of persons with the disease or condition for which the drug or biologic was designated. Thus, orphan drug exclusivity could also block the approval of one of our products for seven years if a competitor obtains approval of the same drug, as defined by the FDA, and we are not able to show the clinical superiority of our drug or if our product candidate is determined to be contained within the competitor’s product for the same indication or disease.</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Recent court cases have challenged FDA’s approach to determining the scope of orphan drug exclusivity; however, at this time the agency continues to apply its long-standing interpretation of the governing regulations and has stated that it does not plan to change any orphan drug implementing regulations.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4" w:name="page25"/>
    <w:bookmarkEnd w:id="24"/>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May 2023, the FDA granted labafenogene marselecobac Orphan Drug Designation. Additionally, in October 2017, the FDA granted SYNB1618 Orphan Drug designation for the treatment of PKU and in November 2022, the FDA granted SYNB1353 Orphan Drug designation for the treatment of HCU.</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Breakthrough Therapy, Rare Pediatric Disease and Priority Review Designations</w:t>
      </w:r>
    </w:p>
    <w:p>
      <w:pPr>
        <w:spacing w:after="0" w:line="13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21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from the request of a sponsor, based on preclinical studies,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In addition, Fast Track designation may be withdrawn by the sponsor or rescinded by the FDA if the designation is no longer supported by data emerging in the clinical trial process.</w:t>
      </w:r>
    </w:p>
    <w:p>
      <w:pPr>
        <w:spacing w:after="0" w:line="2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with the enactment of FDASIA in 2012, Congress created a new regulatory program for product candidates designated by FDA as “breakthrough therapies” upon a request made by the IND sponsors.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of their respective marketing applications. The FDA must take certain actions with respect to breakthrough therapies, such as holding timely meetings with and providing advice to the product sponsor, intended to expedite the development and review of an application for approval of a breakthrough therapy.</w:t>
      </w:r>
    </w:p>
    <w:p>
      <w:pPr>
        <w:spacing w:after="0" w:line="2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Finally, the FDA may designate a product for priority review if it is a drug or biologic that treats a serious condition and, if approved, would provide a significant improvement in safety or effectiveness. The FDA determines at the time that the marketing application is submitted, on a case- 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original BLA or for an NDA for a new molecular entity from the date of filing.</w:t>
      </w:r>
    </w:p>
    <w:p>
      <w:pPr>
        <w:spacing w:after="0" w:line="27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Finally, the FDA may designate a product for priority review if it is a drug or biologic that treats a serious condition and, if approved, would provide a significant improvement in safety or effectiveness. The FDA determines at the time that the marketing application is submitted, on a case- 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original BLA or for an NDA for a new molecular entity from the date of filing.</w:t>
      </w:r>
    </w:p>
    <w:p>
      <w:pPr>
        <w:spacing w:after="0" w:line="2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grants Rare Pediatric Disease Designation (RPDD) for serious and life-threatening diseases that primarily affect individuals from birth to 18 years old and fewer than 200,000 persons in the U.S. Under this program, a sponsor who receives an approval for a drug or biologic for a “rare pediatric disease” designation may qualify for a pediatric priority review voucher (pPRV) that can be redeemed to receive a priority review of a subsequent marketing application for a different product. The Rare Pediatric Disease Priority Review Voucher program was reauthorized in the Creating Hope Reauthorization Act in December 2020, allowing a product that is designated as a product for a rare pediatric disease prior to October 1, 2024 to be eligible to receive a Priority Review Voucher upon approval of a qualifying NDA or BLA prior to October 1, 2026.</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5" w:name="page26"/>
    <w:bookmarkEnd w:id="25"/>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breakthrough therapy designation and priority review do not change the standards for approval and may not ultimately expedite the development or approval process.</w:t>
      </w:r>
    </w:p>
    <w:p>
      <w:pPr>
        <w:spacing w:after="0" w:line="25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July 2023, the FDA granted Fast Track designation for the use of labafenogene marselecobac for the treatment of PKU. In addition, in April 2018, the FDA granted Fast Track designation for the use of SYNB1618 for the treatment of PKU. In August 2022, the FDA granted Fast Track designation for the use of SYNB1353 for the treatment of HCU. In January of 2023, Synlogic announced the FDA’s granting of RPDD for SYNB1353 for HCU and for SYNB1934 for PKU.</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drug receiving accelerated approval perform post-marketing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21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22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drug’s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drug. All promotional materials for product candidates being considered and approved under the accelerated approval program are subject to prior review by the FDA.</w:t>
      </w:r>
    </w:p>
    <w:p>
      <w:pPr>
        <w:spacing w:after="0" w:line="21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part of the Consolidated Appropriations Act for 2023, Congress provided FDA additional statutory authority to mitigate potential risks to patients from continued marketing of ineffective drugs previously granted accelerated approval. Under the Act’s amendments to the FDCA, FDA may require the sponsor of a product granted accelerated approval to have a confirmatory trial underway prior to approval.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13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Following approval of a new product, the manufacturer and the approved product are subject to pervasive and continuing regulation by the FDA, including, among other things, monitoring and recordkeeping activities, reporting of adverse experiences 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t>the product, product sampling and distribution restrictions, complying with promotion and advertising requirements, which include restrictions on promoting biologics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pre-clinical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23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cGMPs. The cGMP regulations include requirements relating to organization of personnel, buildings and facilities, equipment, control of components and finished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satisfy the FDA or comparable foreign regulatory authorities before any product is approved and our commercial products can be manufactured.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prescheduled or unannounced inspections by the FDA and certain state agencies for compliance with cGMP and other laws. Accordingly, manufacturers must continue to expend time, money and effort in the area of production and quality control to maintain cGMP compliance. Future inspections by the FDA and other regulatory agencies may identify compliance issues at the facilities of our CMOs that may disrupt production or distribution or require substantial resources to correct. In addition, the discovery of conditions that violate these rules, including failure to conform to cGMPs, could result in enforcement actions, and the discovery of problems with a product after approval may result in restrictions on a product, manufacturer or holder of an approved BLA, including voluntary recall and regulatory sanctions as described below.</w:t>
      </w:r>
    </w:p>
    <w:p>
      <w:pPr>
        <w:spacing w:after="0" w:line="223"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standards is not maintained or if problems occur or are discovered after the product reaches the market. Later discovery of previously unknown problems with a product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85"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130" w:lineRule="exact"/>
        <w:rPr>
          <w:rFonts w:ascii="Times New Roman" w:cs="Times New Roman" w:eastAsia="Times New Roman" w:hAnsi="Times New Roman"/>
          <w:sz w:val="18"/>
          <w:szCs w:val="18"/>
          <w:color w:val="auto"/>
        </w:rPr>
      </w:pPr>
    </w:p>
    <w:p>
      <w:pPr>
        <w:ind w:left="760" w:right="74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NDAs/BLAs or supplements to approved NDAs/BLAs, or suspension or revocation of product approvals;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30"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 or mandated modification of promotional materials and labeling and the issuance of corrective information.</w:t>
      </w:r>
    </w:p>
    <w:p>
      <w:pPr>
        <w:spacing w:after="0" w:line="20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or DSCSA, was enacted with the aim of building an electronic system to identify and trace certain prescription drugs distributed in the United States, including most biological products. The DSCSA mandates phased-in and resource-intensive obligations for pharmaceutical manufacturers, wholesale distributors, and dispensers over a ten-year period, which culminated in November 2023.</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7" w:name="page28"/>
    <w:bookmarkEnd w:id="27"/>
    <w:p>
      <w:pPr>
        <w:ind w:right="440"/>
        <w:spacing w:after="0" w:line="282" w:lineRule="auto"/>
        <w:rPr>
          <w:sz w:val="20"/>
          <w:szCs w:val="20"/>
          <w:color w:val="auto"/>
        </w:rPr>
      </w:pPr>
      <w:r>
        <w:rPr>
          <w:rFonts w:ascii="Times New Roman" w:cs="Times New Roman" w:eastAsia="Times New Roman" w:hAnsi="Times New Roman"/>
          <w:sz w:val="18"/>
          <w:szCs w:val="18"/>
          <w:color w:val="auto"/>
        </w:rPr>
        <w:t>Most recently, the FDA announced a one-year stabilization period to November 2024, giving entities subject to the DSCSA additional time to finalize interoperable tracking systems and to ensure supply chain continuity.</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legislation is drafted, introduced and passed in Congress that could significantly change the statutory provisions governing the approval, manufacturing and marketing of products regulated by the FDA. It is impossible to predict whether further legislative changes will be enacted, or FDA regulations, guidance or interpretations will be changed or what the impact of such changes, if any, may be.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the performance of clinical trials outside the United States and commercial sales and distribution of our products outside of the United States. Whether or not we obtain FDA approval for a product candidate, we must obtain approval by the comparable regulatory authorities of foreign countries or economic areas, such as the European Union, before we may commence clinical trials or market products in those countries or areas.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European Union drug development, review and approval</w:t>
      </w:r>
    </w:p>
    <w:p>
      <w:pPr>
        <w:spacing w:after="0" w:line="13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European Union, our product candidates also may be subject to extensive regulatory requirements. As in the United States, medicinal products can be marketed only if a marketing authorization from the competent regulatory agencies has been obtained. Similar to the United States, the various phases of pre-clinical and clinical research in the European Union are subject to significant regulatory controls.</w:t>
      </w:r>
    </w:p>
    <w:p>
      <w:pPr>
        <w:spacing w:after="0" w:line="21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new Clinical Trials Regulation, (EU) No 536/2014, which took effect on January 31, 2022, aims to simplify and streamline the approval of clinical trials in the European Union. The main characteristics of the regulation include: a streamlined application procedure via a single entry point, the “EU clinical trial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European Union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in the United States, similar requirements for posting clinical trial information are described in the European Union (EudraCT)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https://eudract.ema.europa.eu.</w:t>
      </w:r>
    </w:p>
    <w:p>
      <w:pPr>
        <w:spacing w:after="0" w:line="23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To obtain a marketing authorization of a drug in the European Union, we may submit marketing authorization applications, or MAA, either under the so-called centralized or national authorization procedures.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Centralized procedure</w:t>
      </w:r>
    </w:p>
    <w:p>
      <w:pPr>
        <w:spacing w:after="0" w:line="13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following a favorable opinion by the European Medicines Agency (the EMA) that is valid in all EU member states, as well as Iceland, Liechtenstein and Norway. The centralized procedure is compulsory for medicines produced by specified biotechnological processes, products designated as orphan medicinal products, advanced-therapy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for Medicinal Products for Human Use, or the CHMP. Accelerated assessment may be granted by the CHMP in exceptional cases, when a medicinal product is expected to be of a major public health interest, particularly from the point of view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of therapeutic innovation. The timeframe for the evaluation of an MAA under the accelerated assessment procedure is of 150 days, excluding stop-clocks.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National authorization procedures</w:t>
      </w:r>
    </w:p>
    <w:p>
      <w:pPr>
        <w:spacing w:after="0" w:line="13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are also two other possible routes to authorize medicinal products in several EU countries, which are available for investigational medicinal products that fall outside the scope of the centralized procedure:</w:t>
      </w:r>
    </w:p>
    <w:p>
      <w:pPr>
        <w:spacing w:after="0" w:line="18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20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21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Under the above-described procedures, before granting the marketing authorization, the EMA or the competent authorities of the member states of the EEA make an assessment of the risk-benefit balance of the product on the basis of scientific criteria concerning its quality, safety and efficacy.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Conditional approval</w:t>
      </w:r>
    </w:p>
    <w:p>
      <w:pPr>
        <w:spacing w:after="0" w:line="13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risk-benefit balance of the product candidate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Pediatric studies</w:t>
      </w:r>
    </w:p>
    <w:p>
      <w:pPr>
        <w:spacing w:after="0" w:line="13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Prior to obtaining a marketing authorization in the European Union, applicants have to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set forth in Regulation (EC) No 1901/2006, which is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23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European Union regulatory exclusivity</w:t>
      </w:r>
    </w:p>
    <w:p>
      <w:pPr>
        <w:spacing w:after="0" w:line="13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European Union, new products authorized for marketing (i.e.,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9" w:name="page30"/>
    <w:bookmarkEnd w:id="29"/>
    <w:p>
      <w:pPr>
        <w:ind w:right="160"/>
        <w:spacing w:after="0" w:line="256" w:lineRule="auto"/>
        <w:rPr>
          <w:sz w:val="20"/>
          <w:szCs w:val="20"/>
          <w:color w:val="auto"/>
        </w:rPr>
      </w:pPr>
      <w:r>
        <w:rPr>
          <w:rFonts w:ascii="Times New Roman" w:cs="Times New Roman" w:eastAsia="Times New Roman" w:hAnsi="Times New Roman"/>
          <w:sz w:val="18"/>
          <w:szCs w:val="18"/>
          <w:color w:val="auto"/>
        </w:rPr>
        <w:t>when applying for a generic or biosimilar marketing authorization in the European Union during a period of eight years from the date on which the reference product was first authorized in the European Union.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European Union orphan designation and exclusivity</w:t>
      </w:r>
    </w:p>
    <w:p>
      <w:pPr>
        <w:spacing w:after="0" w:line="13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2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1"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consents to a second orphan medicinal product application; or</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cannot supply enough orphan medicinal product.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PRIME designation</w:t>
      </w:r>
    </w:p>
    <w:p>
      <w:pPr>
        <w:spacing w:after="0" w:line="13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EMA grants access to the Priority Medicines, or PRIME, program to investigational medicines for which it determines there to be preliminary clinical data available showing the potential to address an unmet medical need and bring a major therapeutic advantage to patients.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Committee for Human Medicinal Products, or CHMP, or Committee for Advanced Therapies, or CAT,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Kingdom Regulation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From January 1, 2021, European Union law no longer directly applies in the United Kingdom. The United Kingdom has adopted existing European Union medicines regulation as standalone United Kingdom legislation with some amendments to reflect procedural and other requirements with respect to marketing authorizations and other regulatory provisions.</w:t>
      </w:r>
    </w:p>
    <w:p>
      <w:pPr>
        <w:spacing w:after="0" w:line="21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Medicines and Healthcare products Regulatory Agency, or MHRA is responsible for regulating the United Kingdom medicinal products market (Great Britain and Northern Ireland). In order to market medicines in the United Kingdom, manufacturers must hold a United Kingdom authorization. On January 1, 2021, all European Union marketing authorizations were converted to United Kingdom marketing authorizations subject to a manufacturer opt-out. The United Kingdom has introduced a separate UK-specific processes for regulatory submissions and medicinal product marketing authorization, and the MHRA guidance states that the United Kingdom will have the power to take into account marketing authorizations made under the European Union decentralized and mutual recognition procedures. On January 1, 2024, the MHRA launched the International Recognition Procedure, or IRP, which provides for an expedited authorization procedure for products that have received positive marketing authorization decisions from trusted partner agencies, such as the EMA or the FDA. There are two available routes for assessment and recognition under the IRP:</w:t>
      </w:r>
    </w:p>
    <w:p>
      <w:pPr>
        <w:spacing w:after="0" w:line="8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Route A – 60 days from validation of submission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must be based on a Reference Regulatory, or RR, marketing authorization within the previous two years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differences from the quality dossier approved by the RR requires assessment under Recognition Route B</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GMP compliance for manufacturing sites should be provided with submission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Recognition Route B criteria are met</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Route B - 110 days from validation of submission with one planned clock stop (up to 60 days) at day 70 to allow applicant to respond to issues identified during review</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must be based on a RR marketing authorization within the previous ten years.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requiring Recognition Route B include, among other things:</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RR granted a conditional or exceptional circumstances marketing authorization</w:t>
      </w:r>
    </w:p>
    <w:p>
      <w:pPr>
        <w:spacing w:after="0" w:line="117" w:lineRule="exact"/>
        <w:rPr>
          <w:rFonts w:ascii="Times New Roman" w:cs="Times New Roman" w:eastAsia="Times New Roman" w:hAnsi="Times New Roman"/>
          <w:sz w:val="18"/>
          <w:szCs w:val="18"/>
          <w:color w:val="auto"/>
        </w:rPr>
      </w:pPr>
    </w:p>
    <w:p>
      <w:pPr>
        <w:ind w:left="2040" w:right="300" w:hanging="505"/>
        <w:spacing w:after="0" w:line="282" w:lineRule="auto"/>
        <w:tabs>
          <w:tab w:leader="none" w:pos="20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manufacturing sites included in the application were not assessed by the RR or a manufacturing site is not GMP certified</w:t>
      </w:r>
    </w:p>
    <w:p>
      <w:pPr>
        <w:spacing w:after="0" w:line="53"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substantial changes to the manufacturing process compared to the process approved by the RR</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 types (e.g., advanced therapy medicinal products, orphan medicines, over-the-counter medicines)</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Management Plan was not assessed by the RR</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RR required one or more post-authorization safety studies for the product</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companion diagnostic is necessary for correct use of the product</w:t>
      </w:r>
    </w:p>
    <w:p>
      <w:pPr>
        <w:spacing w:after="0" w:line="25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United Kingdom medicines legislation is subject to future regulatory change under the Medicines and Medical Devices Act 2021. This act sets out a new framework for the adoption of medicines regulation.</w:t>
      </w:r>
    </w:p>
    <w:p>
      <w:pPr>
        <w:spacing w:after="0" w:line="20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Different rules will apply in Northern Ireland following implementation of the Northern Ireland Protocol. In Northern Ireland, European Union central marketing applications will continue to apply.</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Trade and Cooperation Agreement, which sets forth a framework for partnership between the European Union and the United Kingdom, became effective as of January 1, 2021. The Trade and Cooperation Agreement contains an Annex in relation to medicinal products with the objective of facilitating availability of medicines, promotion of public health and consumer protection in respect of medicinal products between the United Kingdom and the European Union. The Annex provides for mutual recognition of Good Manufacturing Practice (GMP) inspections and certificates, meaning that manufacturing facilities do not need to undergo duplicate inspections for the two markets. The Annex establishes a Working Group on Medicinal Products to deal with matters under the Trade and Cooperation Agreement, facilitate co-operation and for the carrying out of technical discussions. It is expected that further bilateral discussions will continue with respect to regulatory areas not the subject of the Trade and Cooperation Agreement, including pharmacovigilance. The Trade and Cooperation Agreement also does not include reciprocal arrangements for the recognition of batch testing certification. However, the United Kingdom has listed approved countries, including the EEA which will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1" w:name="page32"/>
    <w:bookmarkEnd w:id="31"/>
    <w:p>
      <w:pPr>
        <w:ind w:right="200"/>
        <w:spacing w:after="0" w:line="282" w:lineRule="auto"/>
        <w:rPr>
          <w:sz w:val="20"/>
          <w:szCs w:val="20"/>
          <w:color w:val="auto"/>
        </w:rPr>
      </w:pPr>
      <w:r>
        <w:rPr>
          <w:rFonts w:ascii="Times New Roman" w:cs="Times New Roman" w:eastAsia="Times New Roman" w:hAnsi="Times New Roman"/>
          <w:sz w:val="18"/>
          <w:szCs w:val="18"/>
          <w:color w:val="auto"/>
        </w:rPr>
        <w:t>enable United Kingdom importers and wholesales to recognize certain certification and regulatory standards. The European Commission has not adopted such recognition procedures.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It is expected that the establishment of a separate United Kingdom authorization system, albeit with transitional recognition procedures in the United Kingdom, will lead to additional regulatory costs. In addition, additional regulatory costs will be incurred with respect to the lack of mutual recognition of batch testing and related regulatory measures.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 of the world regulation</w:t>
      </w:r>
    </w:p>
    <w:p>
      <w:pPr>
        <w:spacing w:after="0" w:line="13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and the United States, such as countries in Eastern Europe, Latin America or Asia, the requirements governing the conduct of clinical trials, product licensing, pricing and reimbursement vary from jurisdiction to jurisdiction. Additionally, the clinical trials must be conducted in accordance with GCP requirements and the applicable regulatory requirements and the ethical principles that have their origin in the Declaration of Helsinki.</w:t>
      </w:r>
    </w:p>
    <w:p>
      <w:pPr>
        <w:spacing w:after="0" w:line="22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35"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Sales of pharmaceutical products depend in significant part on the availability of third-party coverage and reimbursement. Third-party payors include government healthcare programs such as Medicare, managed care providers, private health insurers and other organizations. We anticipate third-party payors will provide reimbursement for our products. However, these third-party payors are increasingly challenging the price and examining the cost effectiveness of medical products and services. In addition, significant uncertainty exists as to the reimbursement status of newly approved healthcare products. The process for determining whether a payor will provide coverage for a product may be separate from the process for setting the price or reimbursement rate that the payor will pay for the product once coverage is approved. Third-party payors often rely on Medicare coverage policy and payment limitations in setting their own reimbursement rates but also have their own methods to individually establish coverage and reimbursement policies. As a result, obtaining coverage and adequate reimbursement can be a time-consuming and costly process. Third-party payors may limit coverage to specific products on an approved list, or formulary, which might not include all of the approved products for a particular indication. We may need to conduct expensive pharmacoeconomic studies in order to demonstrate the medical necessity and cost effectiveness of our products.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Our product candidates may not be considered cost effective. It is time-consuming and expensive for us to seek reimbursement from third-party payors. Reimbursement may not be available or sufficient to allow us to sell our products on a competitive and profitable basis.</w:t>
      </w:r>
    </w:p>
    <w:p>
      <w:pPr>
        <w:spacing w:after="0" w:line="23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Medicare is a federal healthcare program administered by the federal government that covers individuals aged 65 and over as well as individuals with certain disabilities. Drugs may be covered under one or more sections of Medicare depending on the nature of the drug and the conditions associated with and site of administration. For example, under Part D, Medicare beneficiaries may enroll in prescription drug plans offered by private entities which provide coverage for outpatient prescription drugs. Part D plans include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Medicare Part B covers most injectable drugs given in an in-patient setting and some drugs administered by a licensed medical provider in hospital outpatient departments and doctors’ offices. Medicare Part B is administered by Medicare Administrative Contractors, which generally have the responsibility of making coverage decisions. Subject to certain payment adjustments and limits, Medicare generally pays for a Part B-covered drug based on a percentage of manufacturer-reported average sales price, which is regularly updated. We believe that our product candidates that are intended to be administered intratumorally will be subject to the Medicare Part B rules.</w:t>
      </w:r>
    </w:p>
    <w:p>
      <w:pPr>
        <w:spacing w:after="0" w:line="21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there will continue to be a number of federal and state proposals to implement governmental pricing controls and limit the growth of healthcare costs, including the cost of prescription drugs. For example, the ACA enacted in March 2010, was expected to have a significant impact on the health care industry. 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2" w:name="page33"/>
    <w:bookmarkEnd w:id="32"/>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our profitability placing the medicinal product on the market. Other member states allow companies to fix their own prices for drug products but monitor and control prescription volumes and issue guidance to physicians to limit prescriptions. There can be no assurance that any country that has price controls or reimbursement limitations for pharmaceutical products will allow favorable reimbursement and pricing arrangements for any of our products. Historically, products launched in the European Union and other countries do not follow price structures of the United States and generally prices tend to be significantly lower.</w:t>
      </w:r>
    </w:p>
    <w:p>
      <w:pPr>
        <w:spacing w:after="0" w:line="21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downward pressure on health care costs in general, particularly prescription drugs, has become intense. As a result, increasingly high barriers are being erected to the entry of new products.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(arbitrage between low-priced and high-priced member states) can further reduce prices. Any country that has price controls or reimbursement limitations for drug products may not allow favorable reimbursement and pricing arrangements.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 Care Laws and Regulations</w:t>
      </w:r>
    </w:p>
    <w:p>
      <w:pPr>
        <w:spacing w:after="0" w:line="13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approved in the United States, we will have to comply with various U.S. federal and state laws, rules and regulations pertaining to health care fraud and abuse, including anti-kickback laws and physician self-referral laws, rules and regulations. Violations of the fraud and abuse laws are punishable by criminal and civil sanctions, including, in some instances, exclusion from participation in federal and state health care programs, including Medicare and Medicaid. These laws include:</w:t>
      </w:r>
    </w:p>
    <w:p>
      <w:pPr>
        <w:spacing w:after="0" w:line="85" w:lineRule="exact"/>
        <w:rPr>
          <w:sz w:val="20"/>
          <w:szCs w:val="20"/>
          <w:color w:val="auto"/>
        </w:rPr>
      </w:pPr>
    </w:p>
    <w:p>
      <w:pPr>
        <w:ind w:left="900" w:right="140" w:hanging="383"/>
        <w:spacing w:after="0" w:line="25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FCA or federal civil money penalties statute;</w:t>
      </w:r>
    </w:p>
    <w:p>
      <w:pPr>
        <w:spacing w:after="0" w:line="92" w:lineRule="exact"/>
        <w:rPr>
          <w:rFonts w:ascii="Times New Roman" w:cs="Times New Roman" w:eastAsia="Times New Roman" w:hAnsi="Times New Roman"/>
          <w:sz w:val="18"/>
          <w:szCs w:val="18"/>
          <w:color w:val="auto"/>
        </w:rPr>
      </w:pPr>
    </w:p>
    <w:p>
      <w:pPr>
        <w:ind w:left="900" w:hanging="383"/>
        <w:spacing w:after="0" w:line="254"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federal False Claims Act,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 care benefit program or making false statements relating to health care matters;</w:t>
      </w:r>
    </w:p>
    <w:p>
      <w:pPr>
        <w:spacing w:after="0" w:line="67" w:lineRule="exact"/>
        <w:rPr>
          <w:rFonts w:ascii="Times New Roman" w:cs="Times New Roman" w:eastAsia="Times New Roman" w:hAnsi="Times New Roman"/>
          <w:sz w:val="18"/>
          <w:szCs w:val="18"/>
          <w:color w:val="auto"/>
        </w:rPr>
      </w:pPr>
    </w:p>
    <w:p>
      <w:pPr>
        <w:ind w:left="900" w:right="44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Act, and its implementing regulations, also imposes obligations, including mandatory contractual terms, with respect to safeguarding the privacy, security and transmission of individually identifiable health information;</w:t>
      </w:r>
    </w:p>
    <w:p>
      <w:pPr>
        <w:spacing w:after="0" w:line="81" w:lineRule="exact"/>
        <w:rPr>
          <w:rFonts w:ascii="Times New Roman" w:cs="Times New Roman" w:eastAsia="Times New Roman" w:hAnsi="Times New Roman"/>
          <w:sz w:val="18"/>
          <w:szCs w:val="18"/>
          <w:color w:val="auto"/>
        </w:rPr>
      </w:pPr>
    </w:p>
    <w:p>
      <w:pPr>
        <w:ind w:left="900" w:right="40" w:hanging="383"/>
        <w:spacing w:after="0" w:line="25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require manufacturers of FDA-approved drugs, devices, biologics and medical supplies covered by Medicare, Medicaid or the Children’s Health Insurance Program to report, on an annual basis, to the Centers for Medicare and Medicaid Services (CMS) information related to payments and other transfers of value to physicians, certain advanced non-physician health care practitioners, and teaching hospitals or to entities or individuals at the request of, or designated on behalf of, such physicians, non-physician health care practitioners, and teaching hospitals as well as certain ownership and investment interests held by physicians and their immediate family members;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3" w:name="page34"/>
    <w:bookmarkEnd w:id="33"/>
    <w:p>
      <w:pPr>
        <w:ind w:left="900" w:right="20" w:hanging="383"/>
        <w:spacing w:after="0" w:line="312"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November 2020, HHS finalized significant changes to the regulations implementing the Anti-Kickback Statute, as well as the Physician Self-Referral Law (Stark Law) and the civil monetary penalty rules regarding beneficiary inducements, with the goal of offering the healthcare industry more flexibility and reducing the regulatory burden associated with those fraud and abuse laws, particularly with respect to value-based arrangements among industry participants.</w:t>
      </w:r>
    </w:p>
    <w:p>
      <w:pPr>
        <w:spacing w:after="0" w:line="247"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Finally, the majority of states also have statutes or regulations similar to the aforementioned federal laws, some of which are broader in scope and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 State and foreign laws also govern the privacy and security of health information in some circumstances, many of which differ from each other in significant ways and often are not preempted by HIPAA, thus complicating compliance efforts.</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business activities can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21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Ensuring that business arrangements with third parties comply with applicable healthcare laws and regulations is costly and time consuming. If business operations are found to be in violation of any of the laws described above or any other applicable governmental regulations a pharmaceutical manufacturer may be subject to penalties, including civil, criminal and administrative penalties, damages, fines, disgorgement, individual imprisonment, exclusion from governmental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curtailment or restructuring of operations, any of which could adversely affect a pharmaceutical manufacturer’s ability to operate its business and the results of its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Care Reform in the US and Potential Changes to Health Care Laws</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For example, Congress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but without any substantive policy changes.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previously mentioned, the primary trend in the U.S. health 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and established a Center for Medicare Innovation at CMS to test innovative payment and service delivery models to lower Medicare and Medicaid spending.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4" w:name="page35"/>
    <w:bookmarkEnd w:id="34"/>
    <w:p>
      <w:pPr>
        <w:ind w:firstLine="509"/>
        <w:spacing w:after="0" w:line="261" w:lineRule="auto"/>
        <w:rPr>
          <w:sz w:val="20"/>
          <w:szCs w:val="20"/>
          <w:color w:val="auto"/>
        </w:rPr>
      </w:pPr>
      <w:r>
        <w:rPr>
          <w:rFonts w:ascii="Times New Roman" w:cs="Times New Roman" w:eastAsia="Times New Roman" w:hAnsi="Times New Roman"/>
          <w:sz w:val="18"/>
          <w:szCs w:val="18"/>
          <w:color w:val="auto"/>
        </w:rPr>
        <w:t>Legislative and regulatory changes under the ACA are possible, but it is unknown what form any such changes or any law would take and how or whether it may affect the biopharmaceutical industry as a whole or Elicio’s business in the future. Elicio expects that changes or additions to the ACA, the Medicare and Medicaid programs, and changes stemming from other health care reform measures, especially with regard to health care access, financing or other legislation in individual states, could have a material adverse effect on the health care industry in the United States.</w:t>
      </w:r>
    </w:p>
    <w:p>
      <w:pPr>
        <w:spacing w:after="0" w:line="20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Notably the Further Consolidated Appropriations Act for 2020 into law (P.L. 116-94), which became law on December 20, 2019 includes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Because generic and biosimilar product developers need samples to conduct certain comparative testing required by the FDA, some have attributed the inability to timely obtain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w:t>
      </w:r>
    </w:p>
    <w:p>
      <w:pPr>
        <w:spacing w:after="0" w:line="22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and entered into the first set of agreements with pharmaceutical manufacturers to conduct price negotiations in October 2023.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spacing w:after="0" w:line="25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IRA’s drug price negotiation provisions, President Biden’s Executive Order 14087, issued in October 2022, called for the CMS innovation center to prepare and submit a report to the White House on potential payment and delivery modes that would complement to IRA, lower drug costs, and promote access to innovative drugs. In February 2023, CMS published its report which described three potential models focusing on affordability, accessibility and feasibility of implementation for further testing by the CMS Innovation Center. As of February 2024, the CMS Innovation Center continues to test the proposed models and has started to roll out plans for access model testing of certain product types (e.g., cell and gene therapies) by states and manufacturers.</w:t>
      </w:r>
    </w:p>
    <w:p>
      <w:pPr>
        <w:spacing w:after="0" w:line="22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in recent years, several states have formed prescription drug affordability boards (PDABs). Much like the IRA’s drug price negotiation program, these PDABs have attempted to implement upper payment limits (UPLs) on drugs sold in their respective states in both public and commercial health plans. For example, in August 2023, Colorado’s PDAB announced a list of five prescription drugs that would undergo an affordability review. The effects of these efforts remain uncertain pending the outcomes of several federal lawsuits challenging state authority to regulate prescription drug payment limits. In December 2020, the U.S. Supreme Court held unanimously that federal law does not preempt the states’ ability to regulate pharmacy benefit managers (PBMs) and other members of the health 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In addition, regional healthcare authorities and individual hospitals are increasingly using bidding procedures to determine what pharmaceutical products and which suppliers will be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5" w:name="page36"/>
    <w:bookmarkEnd w:id="35"/>
    <w:p>
      <w:pPr>
        <w:ind w:right="180"/>
        <w:spacing w:after="0" w:line="282" w:lineRule="auto"/>
        <w:rPr>
          <w:sz w:val="20"/>
          <w:szCs w:val="20"/>
          <w:color w:val="auto"/>
        </w:rPr>
      </w:pPr>
      <w:r>
        <w:rPr>
          <w:rFonts w:ascii="Times New Roman" w:cs="Times New Roman" w:eastAsia="Times New Roman" w:hAnsi="Times New Roman"/>
          <w:sz w:val="18"/>
          <w:szCs w:val="18"/>
          <w:color w:val="auto"/>
        </w:rPr>
        <w:t>included in their prescription drug and other health care programs. These measures could reduce the ultimate demand for our products, once approved, or put pressure on our product pricing.</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expect that these and other health care reform measures that may be adopted in the future, may result in more rigorous coverage criteria and in additional downward pressure on the price that we receive for any approved drug, which could have an adverse effect on customers for our product candidates. Any reduction in reimbursement from Medicare or other government programs may result in a similar reduction in payments from private payors.</w:t>
      </w:r>
    </w:p>
    <w:p>
      <w:pPr>
        <w:spacing w:after="0" w:line="22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 care and containing or lowering the cost of health care. The implementation of cost containment measures or other health 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Matters</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These operations may involve the use of hazardous and flammable materials, including chemicals and biological materials. Our operations may also produce hazardous waste products. We contract with third parties for the disposal of these materials and wastes. Our products are defined as Genetically Modified Organisms (GMO) or Genetically Modified Micro-organisms (GMM) and, dependent on their classification and containment, may be subject to regulation.</w:t>
      </w:r>
    </w:p>
    <w:p>
      <w:pPr>
        <w:spacing w:after="0" w:line="7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United States does not have any federal legislation that is specific to genetically modified organisms. GMOs are regulated pursuant to health, safety, and environmental legislation governing conventional products. The U.S. approach to regulating GMOs is premised on the assumption that regulation should focus on the nature of the products, rather than the process in which they were produced.</w:t>
      </w:r>
    </w:p>
    <w:p>
      <w:pPr>
        <w:spacing w:after="0" w:line="6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clinical development and marketing of GMM within the European Union, and elsewhere, falls under different regulations and practices in each country, which may involve approval by environmental or other regulatory bodies, as well as health authorities, and may establish the requirement for a risk assessment for the testing or authorization of the product.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made significant investments in our manufacturing organization, including process development and cGMP production infrastructure to establish manufacturing processes designed to support production of clinical trial material. The manufacturing processes are designed to enable us to reproducibly manufacture high quality living medicines at clinical scale and, later, at commercial scale to enable approval of our product candidates. We have built a fully integrated development and manufacturing organization with an internal process development group, quality group and manufacturing capabilities with the lease of cGMP cleanroom space in Waltham, Massachusetts. We currently work with an external contract manufacturing organizations (CMOs) for fill finish production of late-stage clinical trial material.</w:t>
      </w:r>
    </w:p>
    <w:p>
      <w:pPr>
        <w:spacing w:after="0" w:line="21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Clinical trial material for our Phase 1 study of SYNB1618 for PKU was manufactured by a CMO. These first clinical trials used a frozen liquid and solid formulation as the drug presentation. Since then, we have made additional investment in our formulation development that optimizes our production of solid dose formulations for our clinical programs. The powder for oral suspension formulation capability allows us to produce a more user-friendly presentation for clinical development and future commercial use. We are continuing to invest and investigate the utility of additional presentations for solid formulations of our Synthetic Biotics including capsules.</w:t>
      </w:r>
    </w:p>
    <w:p>
      <w:pPr>
        <w:spacing w:after="0" w:line="26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To enable the production of high levels of cells, or biomass, we can engineer our Synthetic Biotics with switches. These switches are comprised of transcription factor and promoter pairs that allow for controlled expression of the therapeutic effectors produced by our Synthetic Biotics. To ensure the metabolic capacity of the cells is allotted to the production of a high level of biomass during manufacturing, the effector circuits in the Synthetic Biotic programs are not expressed during this growth phase. At the end of the manufacturing process, the circuits are then induced, or activated. This two-step approach was designed to enable a high level of biomass production as well as to deliver the required activity necessary at the time of administration. We continue to devote resources to process development and the generation of improved products.</w:t>
      </w:r>
    </w:p>
    <w:p>
      <w:pPr>
        <w:spacing w:after="0" w:line="255"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As we progress in clinical development, we will need to increase our production scale to support late-stage clinical trials and commercial manufacturing. We are in the process of assessing CDMOs who meet our criteria to supply our late-stage clinical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6" w:name="page37"/>
    <w:bookmarkEnd w:id="36"/>
    <w:p>
      <w:pPr>
        <w:ind w:right="540"/>
        <w:spacing w:after="0" w:line="282" w:lineRule="auto"/>
        <w:rPr>
          <w:sz w:val="20"/>
          <w:szCs w:val="20"/>
          <w:color w:val="auto"/>
        </w:rPr>
      </w:pPr>
      <w:r>
        <w:rPr>
          <w:rFonts w:ascii="Times New Roman" w:cs="Times New Roman" w:eastAsia="Times New Roman" w:hAnsi="Times New Roman"/>
          <w:sz w:val="18"/>
          <w:szCs w:val="18"/>
          <w:color w:val="auto"/>
        </w:rPr>
        <w:t>development and commercial supply. We will compare the merits of working with one or more CDMOs who meet our criteria with the possibility of building cGMP manufacturing capacity and capabilities internally.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biotechnology industry is extremely competitive in the race to develop new products. While we believe we have significant competitive advantages with our industry-leading expertise in synthetic biology and metabolic engineering of non-pathogenic bacteria, our clinical development expertise, and strong intellectual property position, we currently face and will continue to face competition for our development programs from companies that use synthetic biology or cell therapy development platforms and from companies focused on more conventional therapeutic modalities such as small molecules and antibodies. The competition is likely to come from multiple sources, including larger pharmaceutical companies, biotechnology companies and academia. Many of these competitors may have access to greater capital and resources than us. These competitors also compete with us in recruiting and retaining qualified scientific and management personnel, in establishing clinical trial sites and patient registration for clinical trials, and in accessing technologies to enable our programs. Not only will we compete with any existing therapies and those therapies currently in development, but we will also have to compete with new therapies that may become available in the future. Our competitors include other companies developing potential therapeutics for the same indications that we are pursuing for our drug candidates, regardless of modality.</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12, 2024, we had 6 full-time employees. Of our full-time employees, 4 were primarily engaged in research and development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employees are subject to a collective bargaining agreement. We believe that we have good relations with our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121"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We recognize that our employees are essential to our success. To this end, we support business growth by seeking to attract and retain best-in-class talent. We use internal and external resources to recruit highly skilled candidates for open positions. We believe that we are able to attract and retain the talent that is required to meet our business goals.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have always invested, and will continue to invest, in the health, safety, and wellness of our employees. We provide our employees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 We provide an Employee Assistance Program (“EAP”) which provides consultation, referrals and resources to help employees and their household manage everyday life and work challenges. We also reimburse for fitness and other similar programs, as well as offer periodic health challenges to encourage health and well-being.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believe a diverse workforce is critical to our success. Our mission is to value differences in races, ethnicities, religions, nationalities, genders, ages and sexual orientations, as well as education, skill sets and experience. We are focused on inclusive hiring practices, fair and equitable treatment, organizational flexibility and training and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2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believe in encouraging employees to be lifelong learners by providing ongoing learning and leadership training opportunities. While we strive to provide real-time recognition of employee performance, we have a formal annual review process not only to determine pay and equity adjustments tied to individual contributions, but to identify areas where employees may benefit from additional training and development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 and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persons were our executive officers and directors as of March 19,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0" w:type="dxa"/>
            <w:vAlign w:val="bottom"/>
          </w:tcPr>
          <w:p>
            <w:pPr>
              <w:spacing w:after="0"/>
              <w:rPr>
                <w:sz w:val="22"/>
                <w:szCs w:val="22"/>
                <w:color w:val="auto"/>
              </w:rPr>
            </w:pP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420" w:type="dxa"/>
            <w:vAlign w:val="bottom"/>
            <w:shd w:val="clear" w:color="auto" w:fill="CCEEFF"/>
          </w:tcPr>
          <w:p>
            <w:pPr>
              <w:spacing w:after="0"/>
              <w:rPr>
                <w:sz w:val="21"/>
                <w:szCs w:val="21"/>
                <w:color w:val="auto"/>
              </w:rPr>
            </w:pPr>
          </w:p>
        </w:tc>
        <w:tc>
          <w:tcPr>
            <w:tcW w:w="7040" w:type="dxa"/>
            <w:vAlign w:val="bottom"/>
            <w:shd w:val="clear" w:color="auto" w:fill="CCEEFF"/>
          </w:tcPr>
          <w:p>
            <w:pPr>
              <w:spacing w:after="0"/>
              <w:rPr>
                <w:sz w:val="21"/>
                <w:szCs w:val="2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Antoine Awad</w:t>
            </w:r>
          </w:p>
        </w:tc>
        <w:tc>
          <w:tcPr>
            <w:tcW w:w="4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65"/>
        </w:trPr>
        <w:tc>
          <w:tcPr>
            <w:tcW w:w="3780" w:type="dxa"/>
            <w:vAlign w:val="bottom"/>
          </w:tcPr>
          <w:p>
            <w:pPr>
              <w:spacing w:after="0"/>
              <w:rPr>
                <w:sz w:val="24"/>
                <w:szCs w:val="24"/>
                <w:color w:val="auto"/>
              </w:rPr>
            </w:pPr>
          </w:p>
        </w:tc>
        <w:tc>
          <w:tcPr>
            <w:tcW w:w="7460" w:type="dxa"/>
            <w:vAlign w:val="bottom"/>
            <w:gridSpan w:val="2"/>
          </w:tcPr>
          <w:p>
            <w:pPr>
              <w:jc w:val="right"/>
              <w:ind w:right="5435"/>
              <w:spacing w:after="0"/>
              <w:rPr>
                <w:sz w:val="20"/>
                <w:szCs w:val="20"/>
                <w:color w:val="auto"/>
              </w:rPr>
            </w:pPr>
            <w:r>
              <w:rPr>
                <w:rFonts w:ascii="Times New Roman" w:cs="Times New Roman" w:eastAsia="Times New Roman" w:hAnsi="Times New Roman"/>
                <w:sz w:val="18"/>
                <w:szCs w:val="18"/>
                <w:color w:val="auto"/>
              </w:rPr>
              <w:t>35</w:t>
            </w:r>
          </w:p>
        </w:tc>
      </w:tr>
      <w:tr>
        <w:trPr>
          <w:trHeight w:val="763"/>
        </w:trPr>
        <w:tc>
          <w:tcPr>
            <w:tcW w:w="3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 Beth Dooley</w:t>
            </w:r>
          </w:p>
        </w:tc>
        <w:tc>
          <w:tcPr>
            <w:tcW w:w="7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Head of Finance</w:t>
            </w:r>
          </w:p>
        </w:tc>
      </w:tr>
      <w:tr>
        <w:trPr>
          <w:trHeight w:val="241"/>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7980" w:type="dxa"/>
            <w:vAlign w:val="bottom"/>
          </w:tcPr>
          <w:p>
            <w:pPr>
              <w:spacing w:after="0"/>
              <w:rPr>
                <w:sz w:val="20"/>
                <w:szCs w:val="20"/>
                <w:color w:val="auto"/>
              </w:rPr>
            </w:pPr>
          </w:p>
        </w:tc>
      </w:tr>
      <w:tr>
        <w:trPr>
          <w:trHeight w:val="225"/>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Peter Barrett, Ph.D.</w:t>
            </w:r>
          </w:p>
        </w:tc>
        <w:tc>
          <w:tcPr>
            <w:tcW w:w="79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Chairman of the Board of Directors, Partner at Atlas Venture</w:t>
            </w: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Burgess, MB, CHB, Ph.D.</w:t>
            </w:r>
          </w:p>
        </w:tc>
        <w:tc>
          <w:tcPr>
            <w:tcW w:w="79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Interim Chief Medical Officer, Turnstone Biologics</w:t>
            </w:r>
          </w:p>
        </w:tc>
      </w:tr>
      <w:tr>
        <w:trPr>
          <w:trHeight w:val="33"/>
        </w:trPr>
        <w:tc>
          <w:tcPr>
            <w:tcW w:w="326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2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Lisa Kelly-Croswell</w:t>
            </w:r>
          </w:p>
        </w:tc>
        <w:tc>
          <w:tcPr>
            <w:tcW w:w="79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SVP &amp; Chief Human Resources Officer, Boston Medical Center Health System</w:t>
            </w: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Heffernan</w:t>
            </w:r>
          </w:p>
        </w:tc>
        <w:tc>
          <w:tcPr>
            <w:tcW w:w="79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Chief Executive Officer, Avenge Bio, Inc.</w:t>
            </w:r>
          </w:p>
        </w:tc>
      </w:tr>
      <w:tr>
        <w:trPr>
          <w:trHeight w:val="33"/>
        </w:trPr>
        <w:tc>
          <w:tcPr>
            <w:tcW w:w="326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2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Patricia Hurter, Ph.D.</w:t>
            </w:r>
          </w:p>
        </w:tc>
        <w:tc>
          <w:tcPr>
            <w:tcW w:w="79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Former Chief Executive Officer, Lyndra Therapeutics</w:t>
            </w: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Leschly</w:t>
            </w:r>
          </w:p>
        </w:tc>
        <w:tc>
          <w:tcPr>
            <w:tcW w:w="79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Chief Executive Officer, 2seventybio, Inc.</w:t>
            </w:r>
          </w:p>
        </w:tc>
      </w:tr>
      <w:tr>
        <w:trPr>
          <w:trHeight w:val="33"/>
        </w:trPr>
        <w:tc>
          <w:tcPr>
            <w:tcW w:w="326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2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Edward Mathers</w:t>
            </w:r>
          </w:p>
        </w:tc>
        <w:tc>
          <w:tcPr>
            <w:tcW w:w="79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General Partner at New Enterprise Associates</w:t>
            </w: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Richard P. Shea</w:t>
            </w:r>
          </w:p>
        </w:tc>
        <w:tc>
          <w:tcPr>
            <w:tcW w:w="79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Consulting CFO, Danforth Advisors</w:t>
            </w: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History</w:t>
      </w:r>
    </w:p>
    <w:p>
      <w:pPr>
        <w:spacing w:after="0" w:line="13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were originally incorporated in the State of Delaware in December 2007 under the name “Mirna Therapeutics, Inc.” We carry on our business directly and through our subsidiaries.</w:t>
      </w:r>
    </w:p>
    <w:p>
      <w:pPr>
        <w:spacing w:after="0" w:line="20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subsidiary, Synlogic Operating Company, Inc. was incorporated in Delaware as TMC Therapeutics, Inc. on March 14, 2014. On July 15, 2014, TMC Therapeutics, Inc. changed its name to Synlogic, Inc. (Private Synlogic when referred to prior to the Merger (as defined below)). On July 2, 2015, the common and preferred shareholders of Private Synlogic executed the Synlogic, LLC Contribution Agreement, pursuant to which such common and preferred shareholders contributed such shareholders’ equity interests in Private Synlogic in exchange for common and preferred units in a newly formed parent company named Synlogic, LLC (the 2015 Reorganization). In addition, IBDCo was formed as a subsidiary of Synlogic, LLC, as part of the 2015 Reorganization, and we entered into a license, option and merger agreement with AbbVie for the development of treatments for IBD. On December 22, 2021, IBDCo was merged with and into Synlogic Operating Company, Inc. and IBDCo ceased to exist as a separate entity.</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May 2017, Private Synlogic completed a reorganization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(2017 Plan) to replace the canceled incentive units pursuant to the termination of the Synlogic, LLC 2015 Equity Incentive Plan (2015 LLC Plan).</w:t>
      </w:r>
    </w:p>
    <w:p>
      <w:pPr>
        <w:spacing w:after="0" w:line="21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reverse stock split of its common stock (the Reverse Stock Split), and on August 28, 2017, immediately after completion of the Merger, Mirna changed its name to “Synlogic, Inc.” (NASDAQ: SYBX).</w:t>
      </w:r>
    </w:p>
    <w:p>
      <w:pPr>
        <w:spacing w:after="0" w:line="22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Mirna issued shares of its common stock to Private Synlogic’s stockholders, using an exchange ratio, after taking into account the Reverse Stock Split, for each share of Private Synlogic common stock and preferred stock outstanding immediately prior to the Merger (Exchange Ratio). In addition, Mirna assumed all of the stock options outstanding under the 2017 Plan, with such stock options henceforth representing the right to purchase a number of shares of Mirna’s common stock equal to the Exchange Ratio multiplied by the number of shares of Private Synlogic common stock previously represented by such options. Mirna also assumed the 2017 Plan.</w:t>
      </w:r>
    </w:p>
    <w:p>
      <w:pPr>
        <w:spacing w:after="0" w:line="224"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Internet address is www.synlogictx.com. Our annual reports on Form 10-K, quarterly reports on Form 10-Q, current reports on Form 8-K, and all amendments to those reports, are available to you free of charge through our website as soon as reasonably practicable after such materials have been electronically filed with, or furnished to, the Securities and Exchange Commission (SEC).</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Annual Report on Form 10-K and our other public filings with the SEC. The following risk factors may be amended, supplemented or superseded from time to time by other reports we file with the SEC in the future.</w:t>
      </w:r>
    </w:p>
    <w:p>
      <w:pPr>
        <w:spacing w:after="0" w:line="18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following discussion of risk factors, References to “we”, “us”, “our” and similar terms refer to the combined business of Synlogic, Inc. after the Merger on August 28, 2017.</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2" w:lineRule="exact"/>
        <w:rPr>
          <w:sz w:val="20"/>
          <w:szCs w:val="20"/>
          <w:color w:val="auto"/>
        </w:rPr>
      </w:pPr>
    </w:p>
    <w:p>
      <w:pPr>
        <w:ind w:left="760" w:right="140" w:hanging="378"/>
        <w:spacing w:after="0" w:line="312"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to date has been almost entirely dependent on the success of SYNB1934, and we have decided to discontinue further development of SYNB1934 and devote significant time and resources to identifying and evaluating strategic alternatives, which may not be successful.</w:t>
      </w:r>
    </w:p>
    <w:p>
      <w:pPr>
        <w:spacing w:after="0" w:line="31"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6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biopharmaceutical company with a history of losses, and we expect to continue to incur losses for the foreseeable future, and we may never achieve or maintain profitability.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on acceptable terms, or at all.</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our stockholders may not be able to resell shares of our common stock at or above the price they paid.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short operating history may make it difficult for stockholders to evaluate the success of our business to date and to assess our future viability.</w:t>
      </w:r>
    </w:p>
    <w:p>
      <w:pPr>
        <w:spacing w:after="0" w:line="128" w:lineRule="exact"/>
        <w:rPr>
          <w:rFonts w:ascii="Times New Roman" w:cs="Times New Roman" w:eastAsia="Times New Roman" w:hAnsi="Times New Roman"/>
          <w:sz w:val="17"/>
          <w:szCs w:val="17"/>
          <w:color w:val="auto"/>
        </w:rPr>
      </w:pPr>
    </w:p>
    <w:p>
      <w:pPr>
        <w:ind w:left="760" w:right="10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costly, time consuming and inherently risky, and we may fail to demonstrate safety and efficacy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we are taking to discover and develop novel therapeutics using synthetic biology to create novel medicines is unproven and may never lead to marketable products.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potential product liability claims, and, if successful claims are brought against us, we may incur substantial liability and costs. If the use or misuse of our product candidates harms patients or is perceived to harm patients even when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ind w:left="380" w:right="300"/>
        <w:spacing w:after="0" w:line="261" w:lineRule="auto"/>
        <w:rPr>
          <w:sz w:val="20"/>
          <w:szCs w:val="20"/>
          <w:color w:val="auto"/>
        </w:rPr>
      </w:pPr>
      <w:r>
        <w:rPr>
          <w:rFonts w:ascii="Times New Roman" w:cs="Times New Roman" w:eastAsia="Times New Roman" w:hAnsi="Times New Roman"/>
          <w:sz w:val="18"/>
          <w:szCs w:val="18"/>
          <w:color w:val="auto"/>
        </w:rPr>
        <w:t>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2" w:lineRule="exact"/>
        <w:rPr>
          <w:sz w:val="20"/>
          <w:szCs w:val="20"/>
          <w:color w:val="auto"/>
        </w:rPr>
      </w:pPr>
    </w:p>
    <w:p>
      <w:pPr>
        <w:ind w:left="380" w:right="340" w:hanging="378"/>
        <w:spacing w:after="0" w:line="282" w:lineRule="auto"/>
        <w:tabs>
          <w:tab w:leader="none" w:pos="380" w:val="left"/>
        </w:tabs>
        <w:numPr>
          <w:ilvl w:val="0"/>
          <w:numId w:val="20"/>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 pandemic, epidemic, or outbreak of an infectious disease, such as COVID-19, or geopolitical tensions, such as the armed conflict between Russia and Ukraine or the conflict in the Middle East, may materially and adversely affect our business and our financial results.</w:t>
      </w:r>
    </w:p>
    <w:p>
      <w:pPr>
        <w:spacing w:after="0" w:line="53" w:lineRule="exact"/>
        <w:rPr>
          <w:rFonts w:ascii="Times New Roman" w:cs="Times New Roman" w:eastAsia="Times New Roman" w:hAnsi="Times New Roman"/>
          <w:sz w:val="18"/>
          <w:szCs w:val="18"/>
          <w:color w:val="212529"/>
        </w:rPr>
      </w:pPr>
    </w:p>
    <w:p>
      <w:pPr>
        <w:ind w:left="380" w:hanging="378"/>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for a product candidate, we will remain subject to ongoing regulatory requirements.</w:t>
      </w:r>
    </w:p>
    <w:p>
      <w:pPr>
        <w:spacing w:after="0" w:line="117" w:lineRule="exact"/>
        <w:rPr>
          <w:rFonts w:ascii="Times New Roman" w:cs="Times New Roman" w:eastAsia="Times New Roman" w:hAnsi="Times New Roman"/>
          <w:sz w:val="18"/>
          <w:szCs w:val="18"/>
          <w:color w:val="auto"/>
        </w:rPr>
      </w:pPr>
    </w:p>
    <w:p>
      <w:pPr>
        <w:ind w:left="380" w:right="12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3" w:lineRule="exact"/>
        <w:rPr>
          <w:rFonts w:ascii="Times New Roman" w:cs="Times New Roman" w:eastAsia="Times New Roman" w:hAnsi="Times New Roman"/>
          <w:sz w:val="18"/>
          <w:szCs w:val="18"/>
          <w:color w:val="auto"/>
        </w:rPr>
      </w:pPr>
    </w:p>
    <w:p>
      <w:pPr>
        <w:ind w:left="380" w:right="200" w:hanging="378"/>
        <w:spacing w:after="0" w:line="261"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1" w:lineRule="exact"/>
        <w:rPr>
          <w:rFonts w:ascii="Times New Roman" w:cs="Times New Roman" w:eastAsia="Times New Roman" w:hAnsi="Times New Roman"/>
          <w:sz w:val="18"/>
          <w:szCs w:val="18"/>
          <w:color w:val="auto"/>
        </w:rPr>
      </w:pPr>
    </w:p>
    <w:p>
      <w:pPr>
        <w:ind w:left="380" w:right="6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about synthetic biology and genetic engineering could limit or prevent the use of our technologies and limit our revenues.</w:t>
      </w:r>
    </w:p>
    <w:p>
      <w:pPr>
        <w:spacing w:after="0" w:line="53" w:lineRule="exact"/>
        <w:rPr>
          <w:rFonts w:ascii="Times New Roman" w:cs="Times New Roman" w:eastAsia="Times New Roman" w:hAnsi="Times New Roman"/>
          <w:sz w:val="18"/>
          <w:szCs w:val="18"/>
          <w:color w:val="auto"/>
        </w:rPr>
      </w:pPr>
    </w:p>
    <w:p>
      <w:pPr>
        <w:ind w:left="380" w:right="90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Synthetic Biotics, product candidates and processes for our development pipeline through acquisitions and in-licenses.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patent term protections for our product candidates to effectively protect our business.</w:t>
      </w:r>
    </w:p>
    <w:p>
      <w:pPr>
        <w:spacing w:after="0" w:line="117" w:lineRule="exact"/>
        <w:rPr>
          <w:rFonts w:ascii="Times New Roman" w:cs="Times New Roman" w:eastAsia="Times New Roman" w:hAnsi="Times New Roman"/>
          <w:sz w:val="18"/>
          <w:szCs w:val="18"/>
          <w:color w:val="auto"/>
        </w:rPr>
      </w:pPr>
    </w:p>
    <w:p>
      <w:pPr>
        <w:ind w:left="380" w:right="48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proprietary rights for our product candidates or any future product candidates, we may not be able to compete effectively in our proposed markets.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may prevent or delay our development and commercialization efforts.</w:t>
      </w:r>
    </w:p>
    <w:p>
      <w:pPr>
        <w:spacing w:after="0" w:line="117" w:lineRule="exact"/>
        <w:rPr>
          <w:rFonts w:ascii="Times New Roman" w:cs="Times New Roman" w:eastAsia="Times New Roman" w:hAnsi="Times New Roman"/>
          <w:sz w:val="18"/>
          <w:szCs w:val="18"/>
          <w:color w:val="auto"/>
        </w:rPr>
      </w:pPr>
    </w:p>
    <w:p>
      <w:pPr>
        <w:ind w:left="380" w:right="8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 consuming, and unsuccessful.</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380" w:right="140" w:hanging="378"/>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relied on and may in the future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rFonts w:ascii="Times New Roman" w:cs="Times New Roman" w:eastAsia="Times New Roman" w:hAnsi="Times New Roman"/>
          <w:sz w:val="18"/>
          <w:szCs w:val="18"/>
          <w:color w:val="auto"/>
        </w:rPr>
      </w:pPr>
    </w:p>
    <w:p>
      <w:pPr>
        <w:ind w:left="380" w:right="28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relied on and may in the future rely on third-party supply and manufacturing partners for drug supplies for our late-stage clinical activities and may do the same for any commercial supplies of our product candidates.</w:t>
      </w:r>
    </w:p>
    <w:p>
      <w:pPr>
        <w:spacing w:after="0" w:line="53"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53"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67" w:lineRule="exact"/>
        <w:rPr>
          <w:rFonts w:ascii="Times New Roman" w:cs="Times New Roman" w:eastAsia="Times New Roman" w:hAnsi="Times New Roman"/>
          <w:sz w:val="18"/>
          <w:szCs w:val="18"/>
          <w:color w:val="auto"/>
        </w:rPr>
      </w:pPr>
    </w:p>
    <w:p>
      <w:pPr>
        <w:ind w:left="380" w:right="46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16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093" w:right="359" w:bottom="1440" w:gutter="0" w:footer="0" w:header="0"/>
        </w:sectPr>
      </w:pPr>
    </w:p>
    <w:bookmarkStart w:id="40" w:name="page41"/>
    <w:bookmarkEnd w:id="40"/>
    <w:p>
      <w:pPr>
        <w:ind w:left="760" w:right="20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Evaluation of Strategic Alternatives</w:t>
      </w:r>
    </w:p>
    <w:p>
      <w:pPr>
        <w:spacing w:after="0" w:line="11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to date has been significantly dependent on the success of SYNB1934, and we have decided to discontinue further development of SYNB1934 and devote significant time and resources to identifying and evaluating strategic alternatives, which may not be successful.</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invested significant efforts and financial resources in the research and development of SYNB1934, which was our lead product candidate in clinical trials.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In February 2024, started to reduce operating expenses while we evaluate our strategic alternatives with a goal to enhance stockholder value, including the possibility of a merger or sale of the Company. There can be no assurance that our process to identify and evaluate potential strategic alternatives will result in any definitive offer to consummate a strategic transaction, or if made what the terms thereof will be or that any transaction will be approved or consummated.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our company and/or assets, that is consummated would enhance shareholder value. There also can be no assurance that we will conduct further drug research or development activities in the future.</w:t>
      </w:r>
    </w:p>
    <w:p>
      <w:pPr>
        <w:spacing w:after="0" w:line="19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Any such strategic transaction may require us to incur non-recurring or other charges, may increase our near-and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our company or any acquired businesses.</w:t>
      </w:r>
    </w:p>
    <w:p>
      <w:pPr>
        <w:spacing w:after="0" w:line="32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1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process to identify a strategic transaction will result in a successfully consummated transaction. If no transaction is completed, our board of directors may decide to pursue a dissolution and liquidation of our company. In such an event, the amount of cash available for distribution to our stockholders will depend heavily on the timing of such decision and, ultimately, such liquidation, since the amount of cash available for distribution continues to decrease as we fund our operations while we evaluate our strategic alternatives. In addition, if our board of directors were to approve and recommend, and our stockholders were to approve, a dissolution and liquidation of our company, we would be required under Delaware corporate law to pay our outstanding obligations, as well as to make reasonable provision for contingent and unknown obligations, prior to making any distributions in liquidation to our stockholders. Our commitments and contingent liabilities may include (i) obligations under our employment and related agreements with certain employees that provide for severance and other payments following a termination of employment occurring for various reasons, including a change in control of our company; (ii) potential litigation against us, and other various claims and legal actions arising in the ordinary course of business; and (iii) non-cancelable facility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180"/>
        <w:spacing w:after="0" w:line="266" w:lineRule="auto"/>
        <w:rPr>
          <w:sz w:val="20"/>
          <w:szCs w:val="20"/>
          <w:color w:val="auto"/>
        </w:rPr>
      </w:pPr>
      <w:r>
        <w:rPr>
          <w:rFonts w:ascii="Times New Roman" w:cs="Times New Roman" w:eastAsia="Times New Roman" w:hAnsi="Times New Roman"/>
          <w:sz w:val="18"/>
          <w:szCs w:val="18"/>
          <w:color w:val="auto"/>
        </w:rPr>
        <w:t>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liquidation, dissolution or winding up of our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Capital Requirements and Operating Results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history of losses, and we expect to continue to incur losses for the foreseeable future, and we may never achieve or maintain profitability.</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developing Synthetic Biotics and we have incurred significant operating losses since our inception. Our net loss was approximately $57.3 million and $66.1 million for the fiscal years ended December 31, 2023 and 2022, respectively. As of December 31, 2023, we had an accumulated deficit of approximately $414.3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86"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Annual Report on Form 10-K and others:</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Synthetic Biotic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and approval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intellectual property, know-how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with our collaborators;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that our competitors and potential competitors may have in securing funding or developing competing technologies or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macro-economic factors outside of our control.</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our stockholders may not be able to resell shares of our common stock at or above the price they paid.</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such as reports by industry analysts, investor perceptions, general industry trends, macro-economic conditions, or negative announcements by other companies involving similar technologies or diseases. These factors also include those discussed in this “Risk Factors” section of this Annual Report on Form 10-K and others such as:</w:t>
      </w:r>
    </w:p>
    <w:p>
      <w:pPr>
        <w:spacing w:after="0" w:line="72" w:lineRule="exact"/>
        <w:rPr>
          <w:sz w:val="20"/>
          <w:szCs w:val="20"/>
          <w:color w:val="auto"/>
        </w:rPr>
      </w:pPr>
    </w:p>
    <w:p>
      <w:pPr>
        <w:ind w:left="1540" w:hanging="514"/>
        <w:spacing w:after="0" w:line="282"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collaborations that we may enter into with respect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government contracts or grants;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related to our clinical trials or product candidates;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synthetic biology and genetic engineering;</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the programs of competitors;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natural disasters;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executive officers and directors or our stockholders in the future;</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equity or debt securities by us;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active, liquid and orderly market in our common stock;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3" w:name="page44"/>
    <w:bookmarkEnd w:id="43"/>
    <w:p>
      <w:pPr>
        <w:ind w:left="1540" w:hanging="514"/>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us.</w:t>
      </w:r>
    </w:p>
    <w:p>
      <w:pPr>
        <w:spacing w:after="0" w:line="11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stockholders to evaluate the success of our business to date and to assess our future viability.</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are a biopharmaceutical company with a limited operating history. We commenced active operations in 2014. Our operations to date have been limited to organizing and staffing our company, research and development activities, business planning and raising capital.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17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Similarly, on March 12, 2023, Signature Bank and Silvergate Capital Corp. were each swept into receivership and on May 1, 2023, First Republic Bank was swept into receivership. Although a statement by the Department of the Treasury, the Federal Reserve and the FDIC stated that all depositors of SVB would have access to all of their money after only one business day of closure, including funds held in uninsured deposit accounts, uncertainty remains over liquidity concerns in the broader financial services industry. Similar impacts have occurred in the past, such as during the 2008-2010 financial crisis.</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Although we review our banking relationships as we believe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have financial or business relationships, but could also include factors involving financial markets or the financial services industry generally.</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access to working capital 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or credit or other credit support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 Events that may prevent successful or timely completion of clinical development of our product candidates include but are not limited to:</w:t>
      </w:r>
    </w:p>
    <w:p>
      <w:pPr>
        <w:spacing w:after="0" w:line="77" w:lineRule="exact"/>
        <w:rPr>
          <w:sz w:val="20"/>
          <w:szCs w:val="20"/>
          <w:color w:val="auto"/>
        </w:rPr>
      </w:pPr>
    </w:p>
    <w:p>
      <w:pPr>
        <w:ind w:left="1540" w:right="680" w:hanging="514"/>
        <w:spacing w:after="0" w:line="284"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satisfactory preclinical or other nonclinical data, including,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or diagnostics to support the initiation or continuation of clinical trials;</w:t>
      </w:r>
    </w:p>
    <w:p>
      <w:pPr>
        <w:spacing w:after="0" w:line="52" w:lineRule="exact"/>
        <w:rPr>
          <w:rFonts w:ascii="Times New Roman" w:cs="Times New Roman" w:eastAsia="Times New Roman" w:hAnsi="Times New Roman"/>
          <w:sz w:val="18"/>
          <w:szCs w:val="18"/>
          <w:color w:val="auto"/>
        </w:rPr>
      </w:pPr>
    </w:p>
    <w:p>
      <w:pPr>
        <w:ind w:left="1540" w:right="260" w:hanging="514"/>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approval at each clinical trial site;</w:t>
      </w:r>
    </w:p>
    <w:p>
      <w:pPr>
        <w:spacing w:after="0" w:line="117" w:lineRule="exact"/>
        <w:rPr>
          <w:rFonts w:ascii="Times New Roman" w:cs="Times New Roman" w:eastAsia="Times New Roman" w:hAnsi="Times New Roman"/>
          <w:sz w:val="18"/>
          <w:szCs w:val="18"/>
          <w:color w:val="auto"/>
        </w:rPr>
      </w:pPr>
    </w:p>
    <w:p>
      <w:pPr>
        <w:ind w:left="1540" w:right="400" w:hanging="514"/>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permit the conduct of a clinical trial by regulatory authorities, after review of an investigational new drug or equivalent foreign application or amendment;</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qualified patients in our clinical trials;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CROs or other third parties to adhere to clinical trial requirements;</w:t>
      </w:r>
    </w:p>
    <w:p>
      <w:pPr>
        <w:spacing w:after="0" w:line="117" w:lineRule="exact"/>
        <w:rPr>
          <w:rFonts w:ascii="Times New Roman" w:cs="Times New Roman" w:eastAsia="Times New Roman" w:hAnsi="Times New Roman"/>
          <w:sz w:val="18"/>
          <w:szCs w:val="18"/>
          <w:color w:val="auto"/>
        </w:rPr>
      </w:pPr>
    </w:p>
    <w:p>
      <w:pPr>
        <w:ind w:left="1540" w:right="140" w:hanging="514"/>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clinical sites, CROs or other third parties to perform in accordance with the good clinical practices requirements of the FDA or applicable foreign regulatory guidelines;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the clinical trials;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unacceptable side effects or toxicity issues associated with our product candidates;</w:t>
      </w:r>
    </w:p>
    <w:p>
      <w:pPr>
        <w:spacing w:after="0" w:line="117" w:lineRule="exact"/>
        <w:rPr>
          <w:rFonts w:ascii="Times New Roman" w:cs="Times New Roman" w:eastAsia="Times New Roman" w:hAnsi="Times New Roman"/>
          <w:sz w:val="18"/>
          <w:szCs w:val="18"/>
          <w:color w:val="auto"/>
        </w:rPr>
      </w:pPr>
    </w:p>
    <w:p>
      <w:pPr>
        <w:ind w:left="1540" w:right="340" w:hanging="514"/>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by the FDA of a clinical hold or the requirement by other similar regulatory agencies that one or more clinical trials be delayed or halted;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left="1540" w:right="60" w:hanging="514"/>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performing additional nonclinical studies;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affordability of the cost of clinical trials of our product candidates;</w:t>
      </w:r>
    </w:p>
    <w:p>
      <w:pPr>
        <w:spacing w:after="0" w:line="117" w:lineRule="exact"/>
        <w:rPr>
          <w:rFonts w:ascii="Times New Roman" w:cs="Times New Roman" w:eastAsia="Times New Roman" w:hAnsi="Times New Roman"/>
          <w:sz w:val="18"/>
          <w:szCs w:val="18"/>
          <w:color w:val="auto"/>
        </w:rPr>
      </w:pPr>
    </w:p>
    <w:p>
      <w:pPr>
        <w:jc w:val="both"/>
        <w:ind w:left="1540" w:right="40" w:hanging="514"/>
        <w:spacing w:after="0" w:line="266"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67" w:lineRule="exact"/>
        <w:rPr>
          <w:rFonts w:ascii="Times New Roman" w:cs="Times New Roman" w:eastAsia="Times New Roman" w:hAnsi="Times New Roman"/>
          <w:sz w:val="18"/>
          <w:szCs w:val="18"/>
          <w:color w:val="auto"/>
        </w:rPr>
      </w:pPr>
    </w:p>
    <w:p>
      <w:pPr>
        <w:ind w:left="1540" w:right="40" w:hanging="514"/>
        <w:spacing w:after="0" w:line="266"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our product candidates could result in additional costs to us or impair our ability to raise additional capital or generate revenue. In addition, if we make manufacturing or formulation changes to our product candidates, we may need to conduct additional nonclinical studies and/or clinical trials, the results obtained from such new formulation may not be consistent with previous results obtained, or the regulatory authorities may need to further review and approve our process before we can proceed.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 Additionally, the FDA or other regulatory authorities may lack experience in evaluating the safety and efficacy of novel product candidates based on synthetic biology, which could result in a longer than expected regulatory review process, increase our expected development costs and delay or prevent commercialization of our product candidates.</w:t>
      </w:r>
    </w:p>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1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a limited number of product candidates based on our Synthetic Biotic therapeutic platform.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w:t>
      </w:r>
    </w:p>
    <w:p>
      <w:pPr>
        <w:spacing w:after="0" w:line="79"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nonclinical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54" w:lineRule="exact"/>
        <w:rPr>
          <w:sz w:val="20"/>
          <w:szCs w:val="20"/>
          <w:color w:val="auto"/>
        </w:rPr>
      </w:pPr>
    </w:p>
    <w:p>
      <w:pPr>
        <w:ind w:left="1540" w:hanging="514"/>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or revoke licenses for such products;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of such products;</w:t>
      </w:r>
    </w:p>
    <w:p>
      <w:pPr>
        <w:spacing w:after="0" w:line="117" w:lineRule="exact"/>
        <w:rPr>
          <w:rFonts w:ascii="Times New Roman" w:cs="Times New Roman" w:eastAsia="Times New Roman" w:hAnsi="Times New Roman"/>
          <w:sz w:val="18"/>
          <w:szCs w:val="18"/>
          <w:color w:val="auto"/>
        </w:rPr>
      </w:pPr>
    </w:p>
    <w:p>
      <w:pPr>
        <w:ind w:left="1540" w:right="580" w:hanging="514"/>
        <w:spacing w:after="0" w:line="282"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540" w:right="140" w:hanging="514"/>
        <w:spacing w:after="0" w:line="282"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 or costly post-marketing testing and surveillance to monitor the safety of the product;</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333"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15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26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part of our business strategy, we have developed and may in the future develop product candidates that may be eligible for FDA and European Commission orphan drug designation. In May 2023, the FDA granted orphan drug designation to labafenogene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7" w:name="page48"/>
    <w:bookmarkEnd w:id="47"/>
    <w:p>
      <w:pPr>
        <w:ind w:right="40"/>
        <w:spacing w:after="0" w:line="255" w:lineRule="auto"/>
        <w:rPr>
          <w:sz w:val="20"/>
          <w:szCs w:val="20"/>
          <w:color w:val="auto"/>
        </w:rPr>
      </w:pPr>
      <w:r>
        <w:rPr>
          <w:rFonts w:ascii="Times New Roman" w:cs="Times New Roman" w:eastAsia="Times New Roman" w:hAnsi="Times New Roman"/>
          <w:sz w:val="18"/>
          <w:szCs w:val="18"/>
          <w:color w:val="auto"/>
        </w:rPr>
        <w:t>marselecobac (SYNB1934)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Because the extent and scope of patent protection for some of our product candidates may be limited, obtaining orphan drug exclusivity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7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Even though we have obtained orphan drug designation for some of our product candidates and intend to seek orphan drug designation for other product candidates, there is no assurance that we will be the first to obtain marketing approval for any particular orphan indication. Further, even though we have obtained orphan drug designation for certain of our product candidates, or even if we obtain orphan drug designation for other potential product candidates, and obtain approval for such products, orphan product exclusivity may not effectively protect us from competition because different drugs can be approved for the same condition and the same drug can be approved for different conditions and potentially used off-label in the orphan indication. In addition,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1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or RPDD, for one or more of our product candidates. However, a BLA for one or more of our product candidates may not meet the eligibility criteria for a priority review voucher upon approval.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January 2023, labafenogene marselecobac received Rare Pediatric Drug Designation (RPDD) for phenylketonuria and in December 2022, SYNB1353 received RPDD for homocystinuria. 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86" w:lineRule="exact"/>
        <w:rPr>
          <w:sz w:val="20"/>
          <w:szCs w:val="20"/>
          <w:color w:val="auto"/>
        </w:rPr>
      </w:pPr>
    </w:p>
    <w:p>
      <w:pPr>
        <w:jc w:val="center"/>
        <w:ind w:right="160"/>
        <w:spacing w:after="0" w:line="276" w:lineRule="auto"/>
        <w:rPr>
          <w:sz w:val="20"/>
          <w:szCs w:val="20"/>
          <w:color w:val="auto"/>
        </w:rPr>
      </w:pPr>
      <w:r>
        <w:rPr>
          <w:rFonts w:ascii="Times New Roman" w:cs="Times New Roman" w:eastAsia="Times New Roman" w:hAnsi="Times New Roman"/>
          <w:sz w:val="17"/>
          <w:szCs w:val="17"/>
          <w:color w:val="auto"/>
        </w:rPr>
        <w:t>For the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spacing w:after="0" w:line="1" w:lineRule="exact"/>
        <w:rPr>
          <w:sz w:val="20"/>
          <w:szCs w:val="20"/>
          <w:color w:val="auto"/>
        </w:rPr>
      </w:pPr>
    </w:p>
    <w:p>
      <w:pPr>
        <w:ind w:right="60" w:firstLine="8"/>
        <w:spacing w:after="0" w:line="25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 disease or conditions within the meaning of the Orphan Drug Act. The FDA may determine that a BLA for one or more of our product candidates does not meet the eligibility criteria for a priority review voucher upon approval. Moreover, due to the current statutory authority for the RPDD and voucher program, the FDA may not award the voucher to sponsors of marketing applications unless either (i) the drug has received rare pediatric disease designation as of September 30, 2024, and is then approved by the FDA no later than September 30, 2026; or (ii) Congress reauthorizes the program. Even if legislation is enacted that extends the date by which approval of the rare pediatric disease-designated drug must obtain approval to receive a priority review voucher, we may not obtain approval by that date, and even if we do, we may not obtain a priority review voucher.</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8"/>
          <w:szCs w:val="18"/>
          <w:color w:val="auto"/>
        </w:rPr>
        <w:t>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17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local or global health emergencies.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contract research organization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the CRO efforts,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Congress also recently amended the FDCA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For any future Phase 3 trials we plan to conduct, we must submit a diversity action plan to the FDA by the time we submit plans for such Phase 3, or pivotal study, protocol to the agency for review as part of an IND, unless we are able to obtain a waiver for some or all of the requirements for a diversity action plan. It is unknown at this time how the diversity action plan may affect the planning and timing of any future Phase 3 trial for our product candidates or what specific information FDA will expect in such plans. However, initiation of such trials may be delayed if the FDA objects to our proposed diversity action plans for any future Phase 3 trial for our product candidates, and we may experience difficulties recruiting a diverse population of patients in attempting to fulfill the requirements of any approved diversity action plan.</w:t>
      </w:r>
    </w:p>
    <w:p>
      <w:pPr>
        <w:spacing w:after="0" w:line="1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 top-line” and preliminary data from our clinical trials that we announce or publish from time to time may change as more patient data become available and are subject to audit and verification procedures that could result in material changes in final data.</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that we previously published. As a result, top-line and preliminary data should be viewed with caution until final data are available. Adverse differences between interim data and final data could significantly harm our business prospects.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 Further, disclosure of interim data by us or by our competitors could result in volatility in the price of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have product liability insurance, which covers any clinical trial we may conduct in the United States or internationally,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84" w:lineRule="exact"/>
        <w:rPr>
          <w:sz w:val="20"/>
          <w:szCs w:val="20"/>
          <w:color w:val="auto"/>
        </w:rPr>
      </w:pPr>
    </w:p>
    <w:p>
      <w:pPr>
        <w:ind w:left="1540" w:hanging="514"/>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investigators, patients or trial sites or limitations on approved indications;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if commercialized, decreased demand for, our product candidates;</w:t>
      </w:r>
    </w:p>
    <w:p>
      <w:pPr>
        <w:spacing w:after="0" w:line="117" w:lineRule="exact"/>
        <w:rPr>
          <w:rFonts w:ascii="Times New Roman" w:cs="Times New Roman" w:eastAsia="Times New Roman" w:hAnsi="Times New Roman"/>
          <w:sz w:val="18"/>
          <w:szCs w:val="18"/>
          <w:color w:val="auto"/>
        </w:rPr>
      </w:pPr>
    </w:p>
    <w:p>
      <w:pPr>
        <w:ind w:left="1540" w:right="980" w:hanging="514"/>
        <w:spacing w:after="0" w:line="282"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commercialized, product recalls, withdrawals of labeling, marketing or promotional restrictions or the need for product modification;</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litigation, including monetary awards to patients or other claimants;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ourselves;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left="1540" w:right="40" w:hanging="514"/>
        <w:spacing w:after="0" w:line="282"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product liability insurance rates or the inability to maintain insurance coverage in the future on acceptable terms, if at all;</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business;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and our technology.</w:t>
      </w:r>
    </w:p>
    <w:p>
      <w:pPr>
        <w:spacing w:after="0" w:line="117"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Product liability claims may subject us to the foregoing and other risks, which could have a material adverse effect on our business, financial condition or results of operations.</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 xml:space="preserve">A pandemic, epidemic, or outbreak of an infectious disease, such as COVID-19, </w:t>
      </w:r>
      <w:r>
        <w:rPr>
          <w:rFonts w:ascii="Times New Roman" w:cs="Times New Roman" w:eastAsia="Times New Roman" w:hAnsi="Times New Roman"/>
          <w:sz w:val="18"/>
          <w:szCs w:val="18"/>
          <w:b w:val="1"/>
          <w:bCs w:val="1"/>
          <w:i w:val="1"/>
          <w:iCs w:val="1"/>
          <w:color w:val="000000"/>
        </w:rPr>
        <w:t>or geopolitical tensions, such as the armed conflict, between Russia</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b w:val="1"/>
          <w:bCs w:val="1"/>
          <w:i w:val="1"/>
          <w:iCs w:val="1"/>
          <w:color w:val="000000"/>
        </w:rPr>
        <w:t xml:space="preserve">and Ukraine or the conflict in the Middle East, </w:t>
      </w:r>
      <w:r>
        <w:rPr>
          <w:rFonts w:ascii="Times New Roman" w:cs="Times New Roman" w:eastAsia="Times New Roman" w:hAnsi="Times New Roman"/>
          <w:sz w:val="18"/>
          <w:szCs w:val="18"/>
          <w:b w:val="1"/>
          <w:bCs w:val="1"/>
          <w:i w:val="1"/>
          <w:iCs w:val="1"/>
          <w:color w:val="212529"/>
        </w:rPr>
        <w:t>may materially and adversely affect our business and our financial results.</w:t>
      </w:r>
    </w:p>
    <w:p>
      <w:pPr>
        <w:spacing w:after="0" w:line="1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Over the past several years, COVID-19 has affected segments of the global economy and it may materially affect our operations again, including potentially significant interruption of our clinical trial activities. In addition, there could be a continuing effect of COVID-19 to the business at FDA or other health authorities, which could result in delays of reviews and approvals, including with respect to our product candidates. The COVID-19 pandemic, including surges in cases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7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COVID-19 may also affect employees of third-party contract research organizations and contract manufacturing organizations located in affected geographies that we rely upon to carry out our clinical trials.</w:t>
      </w:r>
    </w:p>
    <w:p>
      <w:pPr>
        <w:spacing w:after="0" w:line="54" w:lineRule="exact"/>
        <w:rPr>
          <w:sz w:val="20"/>
          <w:szCs w:val="20"/>
          <w:color w:val="auto"/>
        </w:rPr>
      </w:pPr>
    </w:p>
    <w:p>
      <w:pPr>
        <w:ind w:right="60" w:firstLine="554"/>
        <w:spacing w:after="0" w:line="255"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COVID-19 may be difficult to assess or predict, a widespread pandemic could result in significant disruption of global financial markets, potentially reducing our ability to access capital, which could in the future negatively affect our liquidity. Similarly, the current conflicts between Ukraine and Russia and in the Middle East have created extreme volatility in the global capital markets and is expected to have further global economic consequences, including disruptions of the global supply chain and energy markets. In addition, we have previously announced our intention to open a clinical trial site in Israel and this could be impacted by the events in the Middle East. A recession or market correction resulting from the continued spread of COVID-19 or the geopolitical tensions in Russia and Ukraine and in the Middle East, could materially affect our business and the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2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1" w:name="page52"/>
    <w:bookmarkEnd w:id="51"/>
    <w:p>
      <w:pPr>
        <w:ind w:left="1540" w:hanging="514"/>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540" w:right="220" w:hanging="514"/>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53" w:lineRule="exact"/>
        <w:rPr>
          <w:rFonts w:ascii="Times New Roman" w:cs="Times New Roman" w:eastAsia="Times New Roman" w:hAnsi="Times New Roman"/>
          <w:sz w:val="18"/>
          <w:szCs w:val="18"/>
          <w:color w:val="auto"/>
        </w:rPr>
      </w:pPr>
    </w:p>
    <w:p>
      <w:pPr>
        <w:ind w:left="1540" w:right="600" w:hanging="514"/>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other comparable foreign regulatory authorities in order to support approval;</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540" w:right="220" w:hanging="514"/>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540" w:right="40" w:hanging="514"/>
        <w:spacing w:after="0" w:line="312" w:lineRule="auto"/>
        <w:tabs>
          <w:tab w:leader="none" w:pos="1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31" w:lineRule="exact"/>
        <w:rPr>
          <w:rFonts w:ascii="Times New Roman" w:cs="Times New Roman" w:eastAsia="Times New Roman" w:hAnsi="Times New Roman"/>
          <w:sz w:val="17"/>
          <w:szCs w:val="17"/>
          <w:color w:val="auto"/>
        </w:rPr>
      </w:pPr>
    </w:p>
    <w:p>
      <w:pPr>
        <w:ind w:left="1540" w:right="120" w:hanging="514"/>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540" w:right="440" w:hanging="514"/>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European Union (EU) recently evolved. The EU Clinical Trials Regulation (CTR) which was adopted in April 2014 and repeals the EU Clinical Trials Directive, became applicable on January 31, 2022. The CTR introduced a centralized process and only requires the submission of a single application to all member states concerned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or CTIS. Once the CTA is approved, clinical study development may proceed. The extent to which ongoing and new clinical trials will be governed by the CTR varies. Clinical trials for which an application was submitted (i) prior to January 31, 2022 under the Clinical Trials Directive, which the CTR replaced, or (ii) between January 31, 2022 and January 31, 2023 and for which the sponsor has opted for the application of the Clinical Trials Directive remain governed by said Directive until January 31, 2025. After this date, all clinical trials, including those that are ongoing, will become subject to the provisions of the CTR. Compliance with the CTR requirements by us, our collaborators and third-party service providers, such as CROs, may impact our development plans.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ind w:firstLine="509"/>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5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A drug or biologic designated as breakthrough therapies by the FDA could also be eligible for accelerated approval.</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three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the condition, a product sponsor may apply for Fast Track designation. We were awarded fFast tTrack designation for SYNB1618 (an earlier generation of SYNB1934labafenogene marselecobac) in April 2018, for labofenogene marselecobac in July 2023, and for SYNB1353 in August 2022.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remain subject to ongoing regulatory requirements.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Times New Roman" w:cs="Times New Roman" w:eastAsia="Times New Roman" w:hAnsi="Times New Roman"/>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ensure compliance. If our original marketing approval for a product candidate were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540" w:hanging="514"/>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untitled or warning letters;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 or revoke a license;</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 or</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11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17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comparable ex-U.S. regulatory authorities may not accept data from trials conducted in locations outside of their jurisdiction.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by the FDA or other comparable ex-U.S. regulatory authority from clinical trials conducted outside of their respective jurisdictions may be subject to certain conditions. The acceptance of study data from clinical trials conducted outside the United States or another jurisdiction by the FDA or comparable ex-U.S. regulatory authority may be subject to certain conditions or may not be accepted at all. In cases where data from ex-U.S. clinical trials are intended to serve as the sole basis for marketing approval in the United States, the FDA will generally not approve the application on the basis of ex-U.S. data alone unless (i) the data are applicable to the U.S. population and U.S. medical practice; (ii) the trials were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Furthermore, even where the ex-U.S.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ex-U.S. regulatory authorities have similar approval requirements. In addition, such ex-U.S. trials would be subject to the applicable local laws of the ex-U.S. jurisdictions where the trials are conducted. There can be no assurance that the FDA or any comparable ex-U.S.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80"/>
        <w:spacing w:after="0" w:line="282" w:lineRule="auto"/>
        <w:rPr>
          <w:sz w:val="20"/>
          <w:szCs w:val="20"/>
          <w:color w:val="auto"/>
        </w:rPr>
      </w:pPr>
      <w:r>
        <w:rPr>
          <w:rFonts w:ascii="Times New Roman" w:cs="Times New Roman" w:eastAsia="Times New Roman" w:hAnsi="Times New Roman"/>
          <w:sz w:val="18"/>
          <w:szCs w:val="18"/>
          <w:color w:val="auto"/>
        </w:rPr>
        <w:t>regulatory authority will accept data from trials conducted outside of its applicable jurisdiction. If the FDA or any comparable ex-U.S. regulatory authority does not accept such data, it would result in the need for additional trials.</w:t>
      </w:r>
    </w:p>
    <w:p>
      <w:pPr>
        <w:spacing w:after="0" w:line="15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increases in workload, and statutory, regulatory, and policy changes. Average review times at the agency have fluctuated in recent years as a result. In 2023, for example, members of Congress wrote to officials at the FDA expressing their concern that clinical holds should not be a means for FDA to gain additional time to review a clinical protocol.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 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In addition, competing demands from other companies or issues can affect the timeliness for which the FDA can review and process our regulatory submissions.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financial condition or results of operations.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Further legislative and regulatory changes under the ACA remain possible, although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Most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160"/>
        <w:spacing w:after="0" w:line="256" w:lineRule="auto"/>
        <w:rPr>
          <w:sz w:val="20"/>
          <w:szCs w:val="20"/>
          <w:color w:val="auto"/>
        </w:rPr>
      </w:pPr>
      <w:r>
        <w:rPr>
          <w:rFonts w:ascii="Times New Roman" w:cs="Times New Roman" w:eastAsia="Times New Roman" w:hAnsi="Times New Roman"/>
          <w:sz w:val="18"/>
          <w:szCs w:val="18"/>
          <w:color w:val="auto"/>
        </w:rPr>
        <w:t>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Additional state and federal healthcare reform measures are expected to be adopted in the future, any of which could limit the amounts that federal and state governments will pay for healthcare products and services, which could result in reduced demand for certain biopharmaceutical products or additional pricing pressures.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addition, in the last few years, several states have formed prescription drug affordability boards (PDABs) with the authority to implement upper payment limits (UPLs) on drugs sold in their respective jurisdictions. However, there are several pending federal lawsuits challenging the authority of states to impose UPLs.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December 2020, the U.S. Supreme Court also held unanimously that federal law does not preempt the states’ ability to regulate pharmaceutical benefit managers, or PBMs, and other members of the healthcare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We expect that additional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payments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5" w:lineRule="exact"/>
        <w:rPr>
          <w:sz w:val="20"/>
          <w:szCs w:val="20"/>
          <w:color w:val="auto"/>
        </w:rPr>
      </w:pPr>
    </w:p>
    <w:p>
      <w:pPr>
        <w:ind w:left="1540" w:right="200" w:hanging="514"/>
        <w:spacing w:after="0" w:line="266"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1"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government payors that are false or fraudulent or making a false statement to avoid, decrease or conceal an obligation to pay money to the federal government;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left="1540" w:right="240" w:hanging="514"/>
        <w:spacing w:after="0" w:line="312" w:lineRule="auto"/>
        <w:tabs>
          <w:tab w:leader="none" w:pos="15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1" w:lineRule="exact"/>
        <w:rPr>
          <w:rFonts w:ascii="Times New Roman" w:cs="Times New Roman" w:eastAsia="Times New Roman" w:hAnsi="Times New Roman"/>
          <w:sz w:val="17"/>
          <w:szCs w:val="17"/>
          <w:color w:val="auto"/>
        </w:rPr>
      </w:pPr>
    </w:p>
    <w:p>
      <w:pPr>
        <w:ind w:left="1540" w:right="40" w:hanging="514"/>
        <w:spacing w:after="0" w:line="282"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1"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requirements under the ACA require manufacturers of drugs, devices, biologics, and medical supplies to report annually to CMS information related to payments and other transfers of value to physicians, certain advanced non-physician healthcare providers, and teaching hospitals, and ownership and investment interests held by physicians and other healthcare providers and their immediate family members; and</w:t>
      </w:r>
    </w:p>
    <w:p>
      <w:pPr>
        <w:spacing w:after="0" w:line="71" w:lineRule="exact"/>
        <w:rPr>
          <w:rFonts w:ascii="Times New Roman" w:cs="Times New Roman" w:eastAsia="Times New Roman" w:hAnsi="Times New Roman"/>
          <w:sz w:val="18"/>
          <w:szCs w:val="18"/>
          <w:color w:val="auto"/>
        </w:rPr>
      </w:pPr>
    </w:p>
    <w:p>
      <w:pPr>
        <w:ind w:left="1540" w:right="100" w:hanging="514"/>
        <w:spacing w:after="0" w:line="273" w:lineRule="auto"/>
        <w:tabs>
          <w:tab w:leader="none" w:pos="15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63"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healthcare reform legislation has strengthened these laws. For example, the ACA, among other things, amended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ability to operate our business and our results of operations.</w:t>
      </w:r>
    </w:p>
    <w:p>
      <w:pPr>
        <w:spacing w:after="0" w:line="1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may in the future become subject to, U.S. federal and state, and international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domestic and international laws and regulations governing data privacy, data security, and the protection of health-related and other personal information. The regulatory framework for collecting, using, safeguarding, sharing, transferring and other processing of personal information worldwide is rapidly evolving and in recent years there has been an increasing focus on privacy and data security issues with the potential to affect our business.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U.S., numerous federal and state laws and regulations, including state data breach notification laws, and federal and state consumer protection laws govern the collection, use, disclosure and protection of health-related and other personal information. Failure to comply with data protection laws and regulations, where applicable, could result in government enforcement actions, which could include civil or criminal penalties, private litigation and/or adverse publicity and could negatively affect our operating results and business. For example, California enacted the California Consumer Privacy Act (the CCPA), which took effect on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in 2020, California voters passed the California Privacy Rights Act (the CPRA), which became effective as of January 1, 2023. The CPRA significantly amends the CCPA and imposes additional data protection obligations on companies doing business in California, including additional consumer rights processes, limitations on data uses, new audit requirements for higher risk data, and opt outs for certain uses of sensitive data. It also creates a new regulatory entity, the California Privacy Protection Agency, which is authorized to issue substantive regulations under the CPRA and could result in increased privacy and information security enforcement. Although the CCPA currently exempts certain health-related information, including clinical trial data, the CCPA and the CPRA may increase our compliance costs and potential liability. In addition to California, more U.S. states are enacting similar legislation, increasing compliance complexity and increasing risks of failures to</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comply. In 2023, comprehensive privacy laws in Virginia, Colorado, Connecticut, and Utah all took effect, and laws in Montana, Oregon, and Texas will take effect in 2024. In addition, laws in other U.S. states are set to take effect beyond 2024, and additional U.S. states have proposals under consideration, all of which are likely to increase our regulatory compliance costs and risks, exposure to regulatory enforcement action and other liabilities.</w:t>
      </w:r>
    </w:p>
    <w:p>
      <w:pPr>
        <w:spacing w:after="0" w:line="5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collection, use, disclosure, transfer, or other processing of personal data in the European Union, including personal health data, is subject to the General Data Protection Regulation, or GDPR, which took effect in 2018 and applies to companies within and outside of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enhances enforcement authority and imposes large penalties for noncompliance, including the potential for fines of up to €20 million or 4% of the annual global revenues of the infringer, whichever is greater. Additionally, the GDPR confers a private right of action on data subjects and consumer associations to lodge complaints with supervisory authorities, seek judicial remedies, and obtain compensation for damages resulting from violations of the GDPR. In addition, the withdrawal of the United Kingdom from the European Union and the subsequent separation of the data protection regimes of these territories mean we are required to also comply with similar data protection laws in the United Kingdom, which may lead to additional compliance costs and could increase our overall risk.</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Laws in the European Economic Area (EEA), Switzerland, and the UK on data export are also evolving. For example, the GDPR only permits exports of data outside the EU where there is a suitable data transfer solution in place to safeguard personal data (e.g. the EU Commission approved Standard Contractual Clauses or certification under the recently-adopted Data Privacy Framework). If we have to rely on third parties to carry out services for us, including processing personal data on our behalf, we are required under GDPR and similar laws in Switzerland and the UK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Future actions of EU, Swiss, and UK data protection authorities are difficult to predict. Some customers or other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86"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Numerous international,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international data protection laws. These laws and regulations are increasing in complexity and number, may change frequently and sometimes conflict.</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Other states have implemented similar laws protecting identifiable health and personal information, and most such laws differ from each other in significant ways and may not be preempted by HIPAA, thus complicating compliance efforts.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left="520"/>
        <w:spacing w:after="0"/>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are often uncertain, contradictory, and in flux.</w:t>
      </w:r>
    </w:p>
    <w:p>
      <w:pPr>
        <w:spacing w:after="0" w:line="117" w:lineRule="exact"/>
        <w:rPr>
          <w:sz w:val="20"/>
          <w:szCs w:val="20"/>
          <w:color w:val="auto"/>
        </w:rPr>
      </w:pPr>
    </w:p>
    <w:p>
      <w:pPr>
        <w:jc w:val="both"/>
        <w:ind w:right="300" w:firstLine="509"/>
        <w:spacing w:after="0" w:line="281" w:lineRule="auto"/>
        <w:rPr>
          <w:sz w:val="20"/>
          <w:szCs w:val="20"/>
          <w:color w:val="auto"/>
        </w:rPr>
      </w:pPr>
      <w:r>
        <w:rPr>
          <w:rFonts w:ascii="Times New Roman" w:cs="Times New Roman" w:eastAsia="Times New Roman" w:hAnsi="Times New Roman"/>
          <w:sz w:val="17"/>
          <w:szCs w:val="17"/>
          <w:color w:val="auto"/>
        </w:rPr>
        <w:t>The legislative and regulatory landscape for privacy and data security continues to evolve, and there has been an increasing focus on privacy and data security issues which may affect our business. Despite our efforts, we may not have fully complied in the past and may not in the future.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6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cybersecurity incidents, which could result in a material disruption of our product development programs.</w:t>
      </w:r>
    </w:p>
    <w:p>
      <w:pPr>
        <w:spacing w:after="0" w:line="51"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Our internal information technology, or IT, systems and those of our current and any future collaborators and other contractors, consultants, or clinical trial sites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right="20"/>
        <w:spacing w:after="0" w:line="252" w:lineRule="auto"/>
        <w:rPr>
          <w:sz w:val="20"/>
          <w:szCs w:val="20"/>
          <w:color w:val="auto"/>
        </w:rPr>
      </w:pPr>
      <w:r>
        <w:rPr>
          <w:rFonts w:ascii="Times New Roman" w:cs="Times New Roman" w:eastAsia="Times New Roman" w:hAnsi="Times New Roman"/>
          <w:sz w:val="18"/>
          <w:szCs w:val="18"/>
          <w:color w:val="auto"/>
        </w:rPr>
        <w:t>ransomware, denial-of-service attacks, unauthorized access to or deletion of files, social engineering, phishing and other means to affect service reliability and threaten the confidentiality, integrity and availability of information and IT systems.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cybersecurity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The market perception of the effectiveness of our security measures could be harmed and our reputation and credibility could be damaged. Although we develop and maintain systems and controls designed to prevent these events from occurring, and we have processes to identify and mitigate threats, the development and maintenance of these systems, controls and processes is costly and requires ongoing monitoring and updating as technologies evolve and efforts to overcome security measures become increasingly sophisticated. Moreover, despite our efforts, the possibility of these events occurring cannot be eliminated entirely. In addition, there can be no assurance that we will promptly detect any such disruption or cybersecurity incident, if at all.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IT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industrial espionage attacks or insider threat attacks which could result in financial, legal, business or reputational harm, as well as loss of competitive advantage or loss of consumer confidence.</w:t>
      </w:r>
    </w:p>
    <w:p>
      <w:pPr>
        <w:spacing w:after="0" w:line="1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Synthetic Biotics, product candidates and processes for our development pipeline through acquisitions and in-licenses.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7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intellectual property rights to other parties, potentially blocking our ability to pursue our program.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17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being issued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is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protections for our product candidates to effectively protect our business.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7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patent terms or regulatory exclusivity to protect our product candidates, our business and results of operations will be adversely affected.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in U.S. and foreign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European patent practice is expected to change now that the European Unitary Patent (UP) and Unified Patent Court (UPC) went into force on June 1, 2023. The new system will impact both pending European applications and granted European patents, and uncertainty remains about long-term implications of this change. The UPC may particularly present uncertainties for our ability to protect and enforce our patent rights against competitors in Europe. While the UPC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the UPC. We will have the right to opt our patents out of the UPC system over the first seven years, but doing so may preclude us from realizing the benefits of the new unified court.</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79"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biology. We may become aware of U.S. and foreign patents and pending patent applications owned by third parties that cover similar therapeutic uses as the product candidates we are developing and we may in the future pursue available proceedings in the U.S. and foreign patent offices to challenge the validity of such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our licensors to file, prosecute, maintain, defend and enforce patents and patent applications that are material to our business.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 party to certain intellectual property license agreements and may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spacing w:after="0" w:line="261" w:lineRule="auto"/>
        <w:rPr>
          <w:sz w:val="20"/>
          <w:szCs w:val="20"/>
          <w:color w:val="auto"/>
        </w:rPr>
      </w:pPr>
      <w:r>
        <w:rPr>
          <w:rFonts w:ascii="Times New Roman" w:cs="Times New Roman" w:eastAsia="Times New Roman" w:hAnsi="Times New Roman"/>
          <w:sz w:val="18"/>
          <w:szCs w:val="18"/>
          <w:color w:val="auto"/>
        </w:rPr>
        <w:t>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8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40"/>
        <w:spacing w:after="0" w:line="261" w:lineRule="auto"/>
        <w:rPr>
          <w:sz w:val="20"/>
          <w:szCs w:val="20"/>
          <w:color w:val="auto"/>
        </w:rPr>
      </w:pPr>
      <w:r>
        <w:rPr>
          <w:rFonts w:ascii="Times New Roman" w:cs="Times New Roman" w:eastAsia="Times New Roman" w:hAnsi="Times New Roman"/>
          <w:sz w:val="18"/>
          <w:szCs w:val="18"/>
          <w:color w:val="auto"/>
        </w:rPr>
        <w:t>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80" w:lineRule="exact"/>
        <w:rPr>
          <w:sz w:val="20"/>
          <w:szCs w:val="20"/>
          <w:color w:val="auto"/>
        </w:rPr>
      </w:pPr>
    </w:p>
    <w:p>
      <w:pPr>
        <w:jc w:val="both"/>
        <w:ind w:right="200"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Europe's Unified Patent Court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intellectual property may be subject to federal regulations such as “march-in” rights, certain reporting requirements and a preference for U.S.-based companies if it is determined that our intellectual property has been discovered through government-funded programs. Compliance with such regulations may limit our exclusive rights, and limit our ability to contract with non-U.S. manufacturers.</w:t>
      </w:r>
    </w:p>
    <w:p>
      <w:pPr>
        <w:spacing w:after="0" w:line="6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These U.S. government rights include a non-exclusive, non-transferable, irrevocable worldwide license to use inventions for any governmental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right="60"/>
        <w:spacing w:after="0" w:line="253" w:lineRule="auto"/>
        <w:rPr>
          <w:sz w:val="20"/>
          <w:szCs w:val="20"/>
          <w:color w:val="auto"/>
        </w:rPr>
      </w:pPr>
      <w:r>
        <w:rPr>
          <w:rFonts w:ascii="Times New Roman" w:cs="Times New Roman" w:eastAsia="Times New Roman" w:hAnsi="Times New Roman"/>
          <w:sz w:val="18"/>
          <w:szCs w:val="18"/>
          <w:color w:val="auto"/>
        </w:rPr>
        <w:t>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relating to such intellectual property. To the extent any of our future intellectual property is also generated through the use of U.S. government funding, the provisions of the Bayh-Dole Act may similarly apply.</w:t>
      </w:r>
    </w:p>
    <w:p>
      <w:pPr>
        <w:spacing w:after="0" w:line="18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relied on and may in the future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historically relied on and may in the future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have historically relied on and may in the future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any third-party contractors and CROs we engage will be required to comply with GLP, as applicable, and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that we engage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8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6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relied on and may in the future rely on third-party supply and manufacturing partners for drug supplies for our late-stage clinical activities and may do the same for any commercial supplies of our product candidates.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historically relied on and may in the future rely on third-party supply and manufacturing partners to supply the materials and components to manufacture parts of the process of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Although our agreements with our suppliers and manufacturers require them to perform according to certain cGMP requirements such as those relating to quality control, quality assurance and qualified personnel, we have limited control over their conduct to implement and maintain these standards. Any of our suppliers or manufacturers could fail to comply with such requirements or to perform our obligations to us in relation to quality, timing or otherwise, or if our supply of components or other materials could become limited or interrupted for other reasons. Under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right="20"/>
        <w:spacing w:after="0" w:line="253" w:lineRule="auto"/>
        <w:rPr>
          <w:sz w:val="20"/>
          <w:szCs w:val="20"/>
          <w:color w:val="auto"/>
        </w:rPr>
      </w:pPr>
      <w:r>
        <w:rPr>
          <w:rFonts w:ascii="Times New Roman" w:cs="Times New Roman" w:eastAsia="Times New Roman" w:hAnsi="Times New Roman"/>
          <w:sz w:val="18"/>
          <w:szCs w:val="18"/>
          <w:color w:val="auto"/>
        </w:rPr>
        <w:t>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our suppliers and manufacturers are subject to inspection and approval by regulatory authorities before we can commence the manufacture and sale of any of our product candidates, and thereafter are subject to ongoing inspection from time to time.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supplies of our products. Any such failure by us or any of our suppliers or manufacturers would significantly impact our ability to develop, obtain regulatory approval for or, if approved, market our product candidates.</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79" w:lineRule="exact"/>
        <w:rPr>
          <w:sz w:val="20"/>
          <w:szCs w:val="20"/>
          <w:color w:val="auto"/>
        </w:rPr>
      </w:pPr>
    </w:p>
    <w:p>
      <w:pPr>
        <w:ind w:left="1020" w:right="6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 which may impact our potential economic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21"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2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8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ind w:right="140"/>
        <w:spacing w:after="0" w:line="282" w:lineRule="auto"/>
        <w:rPr>
          <w:sz w:val="20"/>
          <w:szCs w:val="20"/>
          <w:color w:val="auto"/>
        </w:rPr>
      </w:pPr>
      <w:r>
        <w:rPr>
          <w:rFonts w:ascii="Times New Roman" w:cs="Times New Roman" w:eastAsia="Times New Roman" w:hAnsi="Times New Roman"/>
          <w:sz w:val="18"/>
          <w:szCs w:val="18"/>
          <w:color w:val="auto"/>
        </w:rPr>
        <w:t>applicable insurance coverage, and if the collaborator does not have other assets available to indemnify us, our business, financial condition and results of operations could be adversely affected.</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180" w:firstLine="509"/>
        <w:spacing w:after="0" w:line="289" w:lineRule="auto"/>
        <w:rPr>
          <w:sz w:val="20"/>
          <w:szCs w:val="20"/>
          <w:color w:val="auto"/>
        </w:rPr>
      </w:pPr>
      <w:r>
        <w:rPr>
          <w:rFonts w:ascii="Times New Roman" w:cs="Times New Roman" w:eastAsia="Times New Roman" w:hAnsi="Times New Roman"/>
          <w:sz w:val="17"/>
          <w:szCs w:val="17"/>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the macro-economic conditions may disfavor a collaboration, and/or third parties may not view our product candidates and programs as having sufficient potential for commercialization, including the likelihood of an adequate safety and efficacy profile.</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67"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9" w:name="page70"/>
    <w:bookmarkEnd w:id="69"/>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17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Further there are several companies working to develop other similar products. Third-party payors, including governmental and private insurers, may also encourage the use of generic products.</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have historically focused and may in the future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Even with approvals from the FDA and comparable foreign regulatory authorities, the commercial success of our products will depend in part on the healthcare providers, patients, and third-party payors accepting our product candidates as medically useful,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spacing w:after="0" w:line="282" w:lineRule="auto"/>
        <w:rPr>
          <w:sz w:val="20"/>
          <w:szCs w:val="20"/>
          <w:color w:val="auto"/>
        </w:rPr>
      </w:pPr>
      <w:r>
        <w:rPr>
          <w:rFonts w:ascii="Times New Roman" w:cs="Times New Roman" w:eastAsia="Times New Roman" w:hAnsi="Times New Roman"/>
          <w:sz w:val="18"/>
          <w:szCs w:val="18"/>
          <w:color w:val="auto"/>
        </w:rPr>
        <w:t>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side effect profile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targeted;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products engineered from bacteria and these therapies;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the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third-party insurance coverage and reimbursement.</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healthcare providers, we will not be able to generate sufficient revenue to become or remain profitable.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any efforts to identify, license, discover, develop, or commercialize additional product candidates.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success of our business is expected to depend largely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75" w:lineRule="exact"/>
        <w:rPr>
          <w:sz w:val="20"/>
          <w:szCs w:val="20"/>
          <w:color w:val="auto"/>
        </w:rPr>
      </w:pPr>
    </w:p>
    <w:p>
      <w:pPr>
        <w:ind w:left="1020" w:right="5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or business development methodology or search criteria and process may be unsuccessful in identifying potential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product candidates may be shown to have harmful side effects or may have other characteristics that may make the products unmarketable or unlikely to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development or commercialization so that such a product may become unreasonable to continue to develop or commercialize;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8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CMS, an agency within DHHS,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8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7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on prescription drugs, has increased and is expected to continue to increase in the future. As a result, profitability of our products, if any, may be more difficult to achieve even if they receive regulatory approval.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product candidates for which we obtain approval may face competition sooner than anticipated.</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ahead of our competitors, our product candidates may face competition from biosimilar products. In the United States, Synthetic Biotic products are expected to be regulated by the FDA as biological products and we intend to seek approval for these product candidates pursuant to the BLA pathway. The BPCIA created an abbreviated pathway for FDA approval of biosimilar and interchangeable biological products based on a previously licensed reference product. Under the BPCIA, an application for a biosimilar biological product cannot be approved by the FDA until 12 years after the original reference biological product was approved under a BLA. The law is complex and is still being interpreted and implemented by the FDA. As a result, its ultimate impact, implementation, and meaning are subject to uncertainty.</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available to reference biological products. However, there is a risk that this exclusivity could be shortened due to congressional action or otherwise, or that the FDA will not consider our product candidates to be reference biological products pursuant to its interpretation of the exclusivity provisions of the BPCIA for competing products, potentially creating the opportunity for generic follow-on biosimilar competition sooner than anticipated. 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whether a future competitor seeks an interchangeability designation for a biosimilar of one of our products. Under the BPCIA as well as state pharmacy laws, only interchangeable biosimilar products are considered substitutable for the reference biological product without the intervention of the healthcare provider who prescribed the original biological product. However, as with all prescribing decisions made in the context of a patient-provider relationship and a patient’s specific medical needs, healthcare providers are not restricted from prescribing biosimilar products in an off-label manner. In addition, a competitor could decide to forego the abbreviated approval pathway available for biosimilar products and to submit a full BLA for product licensure after completing its own preclinical studies and clinical trials. In such a situation, any exclusivity to which we may be eligible under the BPCIA would not prevent the competitor from marketing its biological product as soon as it is approved.</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the CREATES Act established a private cause of action that permits a follow-on product developer to sue the brand manufacturer to compel it to furnish necessary samples of a reference product on “commercially reasonable, market-based terms.” If follow-on product developers request samples of any product candidates for which we receive marketing approval in order to conduct comparative testing to support one or more applications for a follow-on version of our products, and we refuse any such request, we may be subject to litigation under the CREATES Act.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addition, companies may be developing biosimilar products in other countries that could compete with our products, if approved.</w:t>
      </w:r>
    </w:p>
    <w:p>
      <w:pPr>
        <w:spacing w:after="0" w:line="6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 candidates, if approved, our future products may become subject to competition from such biosimilars, whether or not they are designated as interchangeable, with the attendant competitive pressure and potential adverse consequences. Such competitive products may be able to immediately compete with us in each indication for which our product candidates may have received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attract, retain and motivate highly qualified management, clinical and scientific personnel. 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3" w:name="page74"/>
    <w:bookmarkEnd w:id="73"/>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March 12, 2024, our executive officers and directors, together with holders of 5% or more of our common stock outstanding and their respective affiliates, beneficially own the majority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or exchangeable for our common stock may depress our stock price.</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March 12, 2024, there were a total of 11,646,977 shares of our common stock outstanding.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and vesting provisions, as applicable.</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our operating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modification or termination of government contracts or grants, and the timing of payments we receive under these arrangements;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under these arrangements;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4" w:name="page75"/>
    <w:bookmarkEnd w:id="74"/>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directors are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8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Provisions in our charter and other provisions of Delaware law could limit the price that investors are willing to pay in the future for shares of our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5" w:name="page76"/>
    <w:bookmarkEnd w:id="75"/>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17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Sarbanes-Oxley Act of 2002,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spacing w:after="0" w:line="84"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and was previously listed on the Nasdaq Global Market. To maintain the listing of our common stock on the Nasdaq Global Market, we were required to satisfy minimum financial and other continued listing requirements and standards, including those related to the price of our common stock. On December 6, 2022, we received a written notice from the Listing Qualifications Department of the Nasdaq Stock Market (Nasdaq) notifying us that, based on the closing bid price of our common stock being below $1.00 per share for 30 consecutive business days, we no longer complied with Nasdaq’s minimum bid price requirement in Listing Rule 5450(a)(1) for continued listing on the Nasdaq Global Market.</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Pursuant to Nasdaq Listing Rule 5810(c)(3)(A), we were provided an initial compliance period of 180 calendar days from receipt of the Notice, or until June 5, 2023, to regain compliance with the minimum bid price requirement. To regain compliance, the bid price for our common stock would need to close at $1.00 per share or more for a minimum of 10 consecutive business days during this 180-day grace period, among other requirements.</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May 25, 2023, we submitted to the Listing Qualifications Department of Nasdaq an application to transfer the listing of our common stock from The Nasdaq Global Market to The Nasdaq Capital Market. On June 6, 2023, we received a notice (Extension Notice) from the Listing Qualifications Department informing us that Nasdaq granted us an additional 180 calendar days, or until December 4, 2023 to regain compliance with the minimum closing bid price requirement for continued listing on The Nasdaq Capital Market under Nasdaq Marketplace Rule 5550(a)(2). In connection with the Extension Notice, the listing of our common stock was transferred from the Nasdaq Global Market to the Nasdaq Capital Market, effective as of June 7, 2023. The Extension Notice had no other immediate effect on the listing of our common stock.</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On September 27, 2023, we implemented a reverse stock split of our shares of common stock, pursuant to which every fifteen (15) shares of our issued and outstanding common stock was automatically converted into one (1) issued and outstanding share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6" w:name="page77"/>
    <w:bookmarkEnd w:id="76"/>
    <w:p>
      <w:pPr>
        <w:ind w:right="20"/>
        <w:spacing w:after="0" w:line="282" w:lineRule="auto"/>
        <w:rPr>
          <w:sz w:val="20"/>
          <w:szCs w:val="20"/>
          <w:color w:val="auto"/>
        </w:rPr>
      </w:pPr>
      <w:r>
        <w:rPr>
          <w:rFonts w:ascii="Times New Roman" w:cs="Times New Roman" w:eastAsia="Times New Roman" w:hAnsi="Times New Roman"/>
          <w:sz w:val="18"/>
          <w:szCs w:val="18"/>
          <w:color w:val="auto"/>
        </w:rPr>
        <w:t>common stock without any change in the par value of $0.001 per share. The reverse stock split was approved by our stockholders on September 21, 2023 at our Special Meeting of stockholders.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October 13, 2023, we received a written notice from the Listing Qualifications Department of Nasdaq notifying us that we had regained compliance with Listing Rule 5550(a)(2) and that this matter was closed. However, there can be no assurance that we will comply with the minimum bid price requirement in the future nor, is there any assurance that our common stock would never be delisted from Nasdaq at some future date. If our common stock were to be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Also, it may be difficult for us to raise additional capital if we are not listed on a major exchange.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In general, we seek to address cybersecurity risks through a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 Effect of Risk</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and work with a third party managed service provider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 We and our third-party partners employ a range of tools and services, including regular network and endpoint monitoring and protection, audits, vulnerability assessments, and penetration testing, to inform our risk identification and assessment. As discussed in more detail under “Cybersecurity Governance” below, our audit committee provides oversight of our cybersecurity risk management and strategy processes, which are led by our Chief Operating Officer.</w:t>
      </w:r>
    </w:p>
    <w:p>
      <w:pPr>
        <w:spacing w:after="0" w:line="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also identify our cybersecurity threat risks by using the services of a managed services provider. To provide for the availability of critical data and systems, maintain regulatory compliance, manage our material risks from cybersecurity threats, and protect against and respond to cybersecurity incidents, we undertake the following activities:</w:t>
      </w:r>
    </w:p>
    <w:p>
      <w:pPr>
        <w:spacing w:after="0" w:line="284" w:lineRule="exact"/>
        <w:rPr>
          <w:sz w:val="20"/>
          <w:szCs w:val="20"/>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as appropriate emerging data protection laws and industry literature and implement changes to our processes that are designed to comply with such laws if needed;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policies, practices and contracts (as applicable), require employees, as well as third parties that provide services on our behalf, to treat confidential information and data with care;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technical safeguards that are designed to protect our information systems from cybersecurity threats, including redundant firewalls, intrusion prevention and detection systems, multi-factor authentication, encryption, anti-malware functionality and access controls;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annual and routine mandatory training utilizing Knowbe4 (leading security awareness training module) for our employees and contractors regarding cybersecurity threats as a means to equip them with effective tools to address cybersecurity threats, and to communicate our evolving information security policies, standards, processes and practices;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phishing email simulations for employees and contractors with access to our email systems to enhance awareness and responsiveness to possible threats;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a managed services provider to help us identify, protect, detect, respond and recover when there is an actual or potential cybersecurity incident;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information security risk insurance that provides protection against the potential losses arising from a cybersecurity incident</w:t>
      </w:r>
    </w:p>
    <w:p>
      <w:pPr>
        <w:spacing w:after="0" w:line="33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incident response plan coordinates the activities we, in concert with our third party managed services provider,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 including through vendor security questionnaires as appropriate.</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18"/>
          <w:szCs w:val="18"/>
          <w:i w:val="1"/>
          <w:iCs w:val="1"/>
          <w:color w:val="auto"/>
        </w:rPr>
        <w:t>“Our internal computer systems, or those of our collaborators or other contractors or consultants, may fail or suffer cybersecurity incidents,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which could result in a material disruption of our product development programs,” </w:t>
      </w:r>
      <w:r>
        <w:rPr>
          <w:rFonts w:ascii="Times New Roman" w:cs="Times New Roman" w:eastAsia="Times New Roman" w:hAnsi="Times New Roman"/>
          <w:sz w:val="18"/>
          <w:szCs w:val="18"/>
          <w:color w:val="auto"/>
        </w:rPr>
        <w:t>which disclosures are incorporated by reference herein. In the last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years, we have not experienced any material cybersecurity incidents.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 Management</w:t>
      </w:r>
    </w:p>
    <w:p>
      <w:pPr>
        <w:spacing w:after="0" w:line="33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of directors and management. Our board of directors executes its oversight responsibility for risk management both directly and through delegating oversight of certain of these risks to its committees, and our board of directors has authorized our audit committee to oversee risks from cybersecurity threats.</w:t>
      </w:r>
    </w:p>
    <w:p>
      <w:pPr>
        <w:spacing w:after="0" w:line="6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At least annually and on a periodic basis, our audit committee receives an update from management on our cybersecurity threat risk management and strategy processes and generally receives materials on our ability to mitigate current and emerging risks, and discusses such matters with our Chief Operating Officer. Our processes require that our audit committee is designated to receive prompt and timely information regarding any cybersecurity incident that meets establishing reporting thresholds, as well as ongoing updates regarding any such incident until it has been addressed.</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cybersecurity risk management and strategy processes, which are discussed in greater detail above, are led by our Chief Operating Officer. This individual has over twenty years of prior work experience in various roles involving managing information security, developing cybersecurity strategy, implementing effective information and cybersecurity programs. The Chief Operating Officer, along with the Company’s managed services provider,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 Chief Operating Officer reports to the audit committee of our board of directors about cybersecurity threat risks, among other cybersecurity related matters, at least annually.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and operations are located in Cambridge, Massachusetts. We currently lease laboratory and office space at 301 Binney Street in Cambridge. Our 301 Binney Street lease expires in 2028. We believe that our facilities are suitable and adequate for our needs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claims and administrative proceedings that arise in the ordinary course of our business activities. Although the results of the litigation and claims cannot be predicated with certainty, as of the date of this report, we do not believe we are party to any claim, proceeding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79" w:name="page80"/>
    <w:bookmarkEnd w:id="79"/>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720"/>
        <w:spacing w:after="0" w:line="385"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traded on The Nasdaq Capital Market under the symbol “SYBX” since August 28, 2017, prior to which it was traded under the symbol “MIRN”.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12, 2024, there were approximately 68 stockholders of record of our common stock.</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to our stockholders since our inception, and we do not plan to declare or pay cash dividends in the foreseeable future. We currently anticipate that we will retain any future earnings for the operation and expansion of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repurchases of common stock during the quarter ended December 31, 2023.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Risk Factors in Part I, Item 1A of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advancing novel therapeutics to transform the care of serious diseases. We focus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w:t>
      </w:r>
    </w:p>
    <w:p>
      <w:pPr>
        <w:spacing w:after="0" w:line="72" w:lineRule="exact"/>
        <w:rPr>
          <w:sz w:val="20"/>
          <w:szCs w:val="20"/>
          <w:color w:val="auto"/>
        </w:rPr>
      </w:pPr>
    </w:p>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We will now work with the Synpheny-3 clinical trial sites involved to implement the discontinuation. As a result, our current corporate strategy is focused on pursuing strategic initiatives to enhance stockholder value,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w:t>
      </w:r>
    </w:p>
    <w:p>
      <w:pPr>
        <w:spacing w:after="0" w:line="8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Our early-stage pipeline includes product candidates for enteric hyperoxaluria, gout, and cystinuria, and has been fueled by a reproducible,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approach that creates GI-restricted, oral medicines with new enzymatic pathways designed to consume or produce specific biological targets.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design, develop and manufacture these drug candidates, which are produced by applying genetic engineering to well-characterized probiotics.</w:t>
      </w:r>
    </w:p>
    <w:p>
      <w:pPr>
        <w:spacing w:after="0" w:line="99" w:lineRule="exact"/>
        <w:rPr>
          <w:sz w:val="20"/>
          <w:szCs w:val="20"/>
          <w:color w:val="auto"/>
        </w:rPr>
      </w:pPr>
    </w:p>
    <w:p>
      <w:pPr>
        <w:ind w:right="60" w:firstLine="554"/>
        <w:spacing w:after="0" w:line="255" w:lineRule="auto"/>
        <w:rPr>
          <w:sz w:val="20"/>
          <w:szCs w:val="20"/>
          <w:color w:val="auto"/>
        </w:rPr>
      </w:pPr>
      <w:r>
        <w:rPr>
          <w:rFonts w:ascii="Times New Roman" w:cs="Times New Roman" w:eastAsia="Times New Roman" w:hAnsi="Times New Roman"/>
          <w:sz w:val="18"/>
          <w:szCs w:val="18"/>
          <w:color w:val="auto"/>
        </w:rPr>
        <w:t>Our drug candidates are designed through precise engineering to target validated biological pathways in the pathophysiology of a given disease. By using a probiotic to deliver these new enzymatic pathways, the activity is restricted to the gastrointestinal (GI) tract, avoiding systemic exposure and associated risks that limit the success of other modalities. Our pipeline programs are all based on the same probiotic Escherichia coli Nissle 1917, which provides synergies across programs, as well as more than one hundred years of human dosing experience. Our drug candidates are engineered to be non-colonizing, and fully reversible via GI clearance. These potential biopharmaceuticals are all orally administered, conducive to straightforward shipping, distribution and storage. For manufacturing, our platform leverages processes with familiar foundations, including fermentation and lyophilization, facilitating process design and scale-up, combined with unique and proprietary innovations tailored to our unique products.</w:t>
      </w:r>
    </w:p>
    <w:p>
      <w:pPr>
        <w:spacing w:after="0" w:line="8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Since our founding, based upon technology from the Massachusetts Institute of Technology (MIT) in 2014, we have progressed a pipeline of multiple drug candidates across different stages, including:</w:t>
      </w:r>
    </w:p>
    <w:p>
      <w:pPr>
        <w:spacing w:after="0" w:line="54" w:lineRule="exact"/>
        <w:rPr>
          <w:sz w:val="20"/>
          <w:szCs w:val="20"/>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Labafenogene marselecobac (SYNB1934), which was being studied in Synpheny-3, a pivotal, Phase 3 study for the treatment of patients with PKU;</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SYSYNB1353, a potential treatment for HCU, has achieved proof of mechanism in a Phase 1 study in healthy volunteers;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research activities on a potential drug candidate for cystinuria, a rare, genetic cause of recurrent kidney stones which is also caused by an underlying metabolic disorder;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SYNB2081, a drug candidate for gout which is in IND-enabling studies;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research focused on novel, locally-acting, GI-restricted biotherapeutics for indications in inflammatory bowel disease (IBD).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Synthetic Biotics in Clinical Development</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product pipeline consists of drug candidates targeting significant medical needs caused by an underlying metabolic disorder. These include labafenogene marselecobac, which was being evaluated in a pivotal, Phase 3 study in PKU, and drug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ind w:right="700"/>
        <w:spacing w:after="0" w:line="282" w:lineRule="auto"/>
        <w:rPr>
          <w:sz w:val="20"/>
          <w:szCs w:val="20"/>
          <w:color w:val="auto"/>
        </w:rPr>
      </w:pPr>
      <w:r>
        <w:rPr>
          <w:rFonts w:ascii="Times New Roman" w:cs="Times New Roman" w:eastAsia="Times New Roman" w:hAnsi="Times New Roman"/>
          <w:sz w:val="18"/>
          <w:szCs w:val="18"/>
          <w:color w:val="auto"/>
        </w:rPr>
        <w:t>candidates designed to treat HCU, enteric hyperoxaluria, and gout. Our preclinical work includes additional metabolic disease research, including cystinuria, target exploration, and focused research efforts in IBD.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-22225</wp:posOffset>
            </wp:positionV>
            <wp:extent cx="6172200" cy="2794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722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operate in one reportable business segment—the discovery and development of Synthetic Biotics.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have incurred significant operating losses since our inception. We have incurred net losses of approximately $57.3 million and $66.1 million for the years ended December 31, 2023 and 2022, respectively. As of December 31, 2023 and 2022, we had an accumulated deficit of approximately $414.3 million and $357.0 million, respectively, and we expect to incur losses for the foreseeable future as we develop our product candidates. Historically, our expenses and capital requirements have increased substantially in connection with our research and development activities, as we:</w:t>
      </w:r>
    </w:p>
    <w:p>
      <w:pPr>
        <w:spacing w:after="0" w:line="75"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preclinical studies, initiated and completed clinical trials for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to manufacture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expanded and protected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staff, including clinical, scientific, commercial and management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existing infrastructure and secure space in a facility to support continued growth in our research and development efforts;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operational and finance personnel to support product development efforts and to support operating as a public company.</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2" w:name="page83"/>
    <w:bookmarkEnd w:id="82"/>
    <w:p>
      <w:pPr>
        <w:ind w:right="380"/>
        <w:spacing w:after="0" w:line="266" w:lineRule="auto"/>
        <w:rPr>
          <w:sz w:val="20"/>
          <w:szCs w:val="20"/>
          <w:color w:val="auto"/>
        </w:rPr>
      </w:pPr>
      <w:r>
        <w:rPr>
          <w:rFonts w:ascii="Times New Roman" w:cs="Times New Roman" w:eastAsia="Times New Roman" w:hAnsi="Times New Roman"/>
          <w:sz w:val="18"/>
          <w:szCs w:val="18"/>
          <w:color w:val="auto"/>
        </w:rPr>
        <w:t>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or operating results during the periods presented. However, inflation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Revenue for the year ended December 31, 2023 was generated from the Roche Collaboration and Option Agreement. See Note 10,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Roche Collaboration </w:t>
      </w:r>
      <w:r>
        <w:rPr>
          <w:rFonts w:ascii="Times New Roman" w:cs="Times New Roman" w:eastAsia="Times New Roman" w:hAnsi="Times New Roman"/>
          <w:sz w:val="18"/>
          <w:szCs w:val="18"/>
          <w:color w:val="auto"/>
        </w:rPr>
        <w:t>in the notes to the consolidated financial statements appearing elsewhere in this Annual Report on Form 10-K for a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this arrangement.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68" w:lineRule="exact"/>
        <w:rPr>
          <w:sz w:val="20"/>
          <w:szCs w:val="20"/>
          <w:color w:val="auto"/>
        </w:rPr>
      </w:pPr>
    </w:p>
    <w:p>
      <w:pPr>
        <w:ind w:left="820" w:hanging="377"/>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benefits and other employee related expenses;</w:t>
      </w:r>
    </w:p>
    <w:p>
      <w:pPr>
        <w:spacing w:after="0" w:line="117"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to support our internal research and development efforts;</w:t>
      </w:r>
    </w:p>
    <w:p>
      <w:pPr>
        <w:spacing w:after="0" w:line="117"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related facility and depreciation costs;</w:t>
      </w:r>
    </w:p>
    <w:p>
      <w:pPr>
        <w:spacing w:after="0" w:line="117"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manufacturing space; and</w:t>
      </w:r>
    </w:p>
    <w:p>
      <w:pPr>
        <w:spacing w:after="0" w:line="117"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process and formulation development, preclinical and clinical studies and regulatory operations.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successful development of our product candidates is highly uncertain and subject to a number of risks. Refer to the risk factors under the heading </w:t>
      </w:r>
      <w:r>
        <w:rPr>
          <w:rFonts w:ascii="Times New Roman" w:cs="Times New Roman" w:eastAsia="Times New Roman" w:hAnsi="Times New Roman"/>
          <w:sz w:val="18"/>
          <w:szCs w:val="18"/>
          <w:i w:val="1"/>
          <w:iCs w:val="1"/>
          <w:color w:val="auto"/>
        </w:rPr>
        <w:t>Risks Related to the Development of Our Product Candidates</w:t>
      </w:r>
      <w:r>
        <w:rPr>
          <w:rFonts w:ascii="Times New Roman" w:cs="Times New Roman" w:eastAsia="Times New Roman" w:hAnsi="Times New Roman"/>
          <w:sz w:val="18"/>
          <w:szCs w:val="18"/>
          <w:color w:val="auto"/>
        </w:rPr>
        <w:t xml:space="preserve"> in Part II, Item 1A, found elsewhere in this Annual Report on Form 10-K.</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decrease in the near future as we have discontinued our Synpheny-3 clinical trial and are evaluating strategic options for the Company.</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tbl>
      <w:tblPr>
        <w:tblLayout w:type="fixed"/>
        <w:tblInd w:w="114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Labafenogene marselecobac (SYNB1934)</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SYNB1618</w:t>
            </w:r>
          </w:p>
        </w:tc>
        <w:tc>
          <w:tcPr>
            <w:tcW w:w="1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SYNB8802</w:t>
            </w:r>
          </w:p>
        </w:tc>
        <w:tc>
          <w:tcPr>
            <w:tcW w:w="1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SYNB1353</w:t>
            </w:r>
          </w:p>
        </w:tc>
        <w:tc>
          <w:tcPr>
            <w:tcW w:w="1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SYNB1891</w:t>
            </w:r>
          </w:p>
        </w:tc>
        <w:tc>
          <w:tcPr>
            <w:tcW w:w="1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(135 )</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External pre-development candidate costs and unallocated</w:t>
            </w:r>
          </w:p>
        </w:tc>
        <w:tc>
          <w:tcPr>
            <w:tcW w:w="1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4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Total external costs</w:t>
            </w:r>
          </w:p>
        </w:tc>
        <w:tc>
          <w:tcPr>
            <w:tcW w:w="11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3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 (including equity-</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based compensation expense)</w:t>
            </w:r>
          </w:p>
        </w:tc>
        <w:tc>
          <w:tcPr>
            <w:tcW w:w="1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 and other</w:t>
            </w:r>
          </w:p>
        </w:tc>
        <w:tc>
          <w:tcPr>
            <w:tcW w:w="1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4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internal costs</w:t>
            </w:r>
          </w:p>
        </w:tc>
        <w:tc>
          <w:tcPr>
            <w:tcW w:w="11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3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1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43,971</w:t>
            </w:r>
          </w:p>
        </w:tc>
        <w:tc>
          <w:tcPr>
            <w:tcW w:w="320" w:type="dxa"/>
            <w:vAlign w:val="bottom"/>
          </w:tcPr>
          <w:p>
            <w:pPr>
              <w:spacing w:after="0"/>
              <w:rPr>
                <w:sz w:val="20"/>
                <w:szCs w:val="20"/>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-959485</wp:posOffset>
            </wp:positionV>
            <wp:extent cx="59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-959485</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may increase in the future as we explore strategic alternatives, including potential legal, accounting and advisory expenses and other related charges. We also anticipate that we will continue to incur accounting, legal, regulatory, compliance and director and officer insurance costs as well as investor and public relations expenses associated with being a public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of income earned on investments. Interest expense consists of expense related to our finance leases. Other expense consists primarily of gains and losses on foreign currency invoices and losses on remeasurement of the purchase warrant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 These estimates and assumptions, including those related to revenue recognition and research and development expenses are monitored and analyzed by us for changes in facts and circumstances, and material changes in these estimates could occur in the future. These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our estimates under different assumptions or conditions.</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the application of the following accounting policies, each of which require significant judgments and estimates on the part of management, are the most critical to aid in fully understanding and evaluating our reported financial results. Our significant accounting policies are more fully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appearing elsewhere in this Annual Report on Form 10-K.</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8" w:right="4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evaluate collaboration agreements with respect to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considering the nature and contractual terms of the arrangement and the nature of our business operations to determine the classification of the transactions. When we are an active participant in the activity and exposed to significant risks and rewards dependent on the commercial success of the collaboration, we will record our transactions on a gross basis in the consolidated financial statements and describe the rights and obligations under the collaborative arrangement in the notes to the consolidated financial statements.</w:t>
      </w:r>
    </w:p>
    <w:p>
      <w:pPr>
        <w:spacing w:after="0" w:line="18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analysis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assesses whether each promised good or service is distinct. We then recognize as revenue the amount of the transaction price that is allocated to the respective performance obligation when (or as) the performance obligation is satisfied.</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enter into collaboration agreements for research and development services, under which we may license certain rights to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to not be at a significant risk of reversal.</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we fulfill our obligations under each of our agreements for which the collaboration partner is also a customer,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 (iii) above; and c) the contract term and pattern of satisfaction of the performance obligations under step (v) above. We use significant judgment to determine whether milestones or other variable consideration, except for royalties, should be included in the transaction price as described further below. The transaction price is allocated to the goods and services we expect to provide. We use estimates to determine the timing of satisfaction of performance obligations, which may include the use of full-time equivalent time as a measure of satisfaction of performance obligations.</w:t>
      </w:r>
    </w:p>
    <w:p>
      <w:pPr>
        <w:spacing w:after="0" w:line="19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deferred revenue in our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Licenses of Intellectual Property</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assessing whether a promise or performance obligation is distinct from the other promises, we consider factors such as the research, manufacturing and commercialization capabilities of the customer and the availability of the associated expertise in the general marketplace. In addition, we consider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Services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 arrangement is determined to contain a promise or obligation for us to perform research and development services, we must determine whether these services are distinct from the other promises in the arrangement. In assessing whether the services are distinct from the other promises, we consider the capabilities of the customer to perform these same services. In addition, we consider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estimates we use to record revenue relating to the combined performance obligation on an over time basis, include input methods such as full-time equivalent time incurred compared to the full-time equivalent time expected to be incurred in the future to satisfy the performance obligation, which require management judgment. We evaluate the measure of progress each reporting period and, if necessary, adjust the measure of performance and related revenue recognition. With this method, we must estimate total inputs required to satisfy a performance obligation and measure efforts expended to date to determine revenue recognition. This estimate of remaining inputs is subjective, as the research is novel, and therefore efforts to be successful may be different than the estimated efforts at the balance sheet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Options</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an alternative approach when the goods or services are both (i) similar to the original goods and services in the contract and (ii) provided in accordance with the terms of the original contract. Under this alternative, we allocate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Milestone Payments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we evaluate whether a significant reversal of cumulative revenue provided in conjunction with achieving the milestones is probable and estimate the amount to be included in the transaction price using the most likely amount method. If it is probable that a significant reversal of cumulative revenue would not occur, the associated milestone value is included in the transaction price. Milestone payments that are not within our control or the licensee, such as regulatory approvals, are not considered probable of being achieved until those approvals are received. For other milestones, we evaluate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we reevaluate the probability of achievement of all milestones subject to constraint and, if necessary, adjusts our estimate of the overall transaction price. Any such adjustments are recorded on a cumulative catch-up basis, which would affect revenues and earnings in the period of adjustment.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Royalties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recognize as an asset the incremental costs of obtaining a contract with a customer if the costs are expected to be recovered. As a practical expedient, we recognize the incremental costs of obtaining a contract as an expense when incurred if the amortization period of the asset that we otherwise would have recognized is one year or less. To date, we have not incurred any incremental costs of obtaining a contract with a customer.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All research and development expenses are expensed as incurred. Research and development expenses comprise costs incurred in performing research and development activities, including compensation, benefits and other employee costs;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laboratory and clinical supplies and other direct expenses; facilities expenses; overhead expenses; fees for contractual services, including preclinical studies, clinical trials, clinical manufacturing and raw materials; and other external expenses. Nonrefundable advance payments for research and development activities are capitalized and expensed over the related service period or as goods are received and services are performed.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Warrants are accounted for as either derivative liabilities or as equity instruments depending on the specific terms of the agreement. Warrants that are equity-classified instruments and recorded in additional paid-in capital at issuance are not subject to remeasurement. The purchase warrants issued in October 2023 are liability classified and recorded at fair value using the Black-Scholes option-pricing model at issuance, with any subsequent changes in fair value recognized in the consolidated statements of operations. We periodically evaluate changes in facts and circumstances that could impact the classification of warrants.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discussion summarizes the key factors our management believes are necessary for an understanding of our consolidated financial results.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FF0FC"/>
          </w:tcPr>
          <w:p>
            <w:pPr>
              <w:spacing w:after="0"/>
              <w:rPr>
                <w:sz w:val="21"/>
                <w:szCs w:val="21"/>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43,971</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80" w:type="dxa"/>
            <w:vAlign w:val="bottom"/>
            <w:shd w:val="clear" w:color="auto" w:fill="CFF0FC"/>
          </w:tcPr>
          <w:p>
            <w:pPr>
              <w:spacing w:after="0"/>
              <w:rPr>
                <w:sz w:val="21"/>
                <w:szCs w:val="21"/>
                <w:color w:val="auto"/>
              </w:rPr>
            </w:pPr>
          </w:p>
        </w:tc>
      </w:tr>
      <w:tr>
        <w:trPr>
          <w:trHeight w:val="23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80" w:type="dxa"/>
            <w:vAlign w:val="bottom"/>
          </w:tcPr>
          <w:p>
            <w:pPr>
              <w:spacing w:after="0"/>
              <w:rPr>
                <w:sz w:val="20"/>
                <w:szCs w:val="20"/>
                <w:color w:val="auto"/>
              </w:rPr>
            </w:pPr>
          </w:p>
        </w:tc>
      </w:tr>
      <w:tr>
        <w:trPr>
          <w:trHeight w:val="23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58,532</w:t>
            </w:r>
          </w:p>
        </w:tc>
        <w:tc>
          <w:tcPr>
            <w:tcW w:w="3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68,599</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tcPr>
          <w:p>
            <w:pPr>
              <w:spacing w:after="0"/>
              <w:rPr>
                <w:sz w:val="20"/>
                <w:szCs w:val="20"/>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(55,161 )</w:t>
            </w:r>
          </w:p>
        </w:tc>
        <w:tc>
          <w:tcPr>
            <w:tcW w:w="7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(67,419 )</w:t>
            </w:r>
          </w:p>
        </w:tc>
      </w:tr>
      <w:tr>
        <w:trPr>
          <w:trHeight w:val="24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80" w:type="dxa"/>
            <w:vAlign w:val="bottom"/>
          </w:tcPr>
          <w:p>
            <w:pPr>
              <w:spacing w:after="0"/>
              <w:rPr>
                <w:sz w:val="20"/>
                <w:szCs w:val="20"/>
                <w:color w:val="auto"/>
              </w:rPr>
            </w:pPr>
          </w:p>
        </w:tc>
      </w:tr>
      <w:tr>
        <w:trPr>
          <w:trHeight w:val="247"/>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(1 )</w:t>
            </w:r>
          </w:p>
        </w:tc>
        <w:tc>
          <w:tcPr>
            <w:tcW w:w="7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purchase warrant liability</w:t>
            </w:r>
          </w:p>
        </w:tc>
        <w:tc>
          <w:tcPr>
            <w:tcW w:w="1160" w:type="dxa"/>
            <w:vAlign w:val="bottom"/>
          </w:tcPr>
          <w:p>
            <w:pPr>
              <w:spacing w:after="0"/>
              <w:rPr>
                <w:sz w:val="20"/>
                <w:szCs w:val="20"/>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(4,058 )</w:t>
            </w:r>
          </w:p>
        </w:tc>
        <w:tc>
          <w:tcPr>
            <w:tcW w:w="7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(517 )</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1"/>
                <w:szCs w:val="2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60" w:type="dxa"/>
            <w:vAlign w:val="bottom"/>
          </w:tcPr>
          <w:p>
            <w:pPr>
              <w:spacing w:after="0"/>
              <w:rPr>
                <w:sz w:val="20"/>
                <w:szCs w:val="20"/>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(2,107 )</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1"/>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(57,268 )</w:t>
            </w:r>
          </w:p>
        </w:tc>
        <w:tc>
          <w:tcPr>
            <w:tcW w:w="7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(66,147 )</w:t>
            </w: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Pr>
          <w:p>
            <w:pPr>
              <w:spacing w:after="0"/>
              <w:rPr>
                <w:sz w:val="20"/>
                <w:szCs w:val="20"/>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(14 )</w:t>
            </w:r>
          </w:p>
        </w:tc>
        <w:tc>
          <w:tcPr>
            <w:tcW w:w="7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(57,282 )</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(66,147 )</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-1602740</wp:posOffset>
            </wp:positionV>
            <wp:extent cx="59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-1602740</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-668020</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-668020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596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ind w:right="53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2023 Compared to Year Ended December 31, 2022 </w:t>
      </w:r>
      <w:r>
        <w:rPr>
          <w:rFonts w:ascii="Times New Roman" w:cs="Times New Roman" w:eastAsia="Times New Roman" w:hAnsi="Times New Roman"/>
          <w:sz w:val="18"/>
          <w:szCs w:val="18"/>
          <w:b w:val="1"/>
          <w:bCs w:val="1"/>
          <w:i w:val="1"/>
          <w:iCs w:val="1"/>
          <w:color w:val="auto"/>
        </w:rPr>
        <w:t>Revenue</w:t>
      </w:r>
    </w:p>
    <w:p>
      <w:pPr>
        <w:spacing w:after="0" w:line="5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3"/>
          </w:tcPr>
          <w:p>
            <w:pPr>
              <w:jc w:val="center"/>
              <w:ind w:right="53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-147955</wp:posOffset>
            </wp:positionV>
            <wp:extent cx="570039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1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Revenue was $3.4 million for the year ended December 31, 2023 compared to $1.2 million for the year ended December 31, 2022. Revenue for both periods was primarily related to services performed under the Roche collaboration that we entered into in June 2021.</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1140" w:type="dxa"/>
            <w:vAlign w:val="bottom"/>
            <w:gridSpan w:val="3"/>
          </w:tcPr>
          <w:p>
            <w:pPr>
              <w:jc w:val="center"/>
              <w:ind w:right="53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ind w:left="120"/>
              <w:spacing w:after="0"/>
              <w:rPr>
                <w:sz w:val="20"/>
                <w:szCs w:val="20"/>
                <w:color w:val="auto"/>
              </w:rPr>
            </w:pPr>
            <w:r>
              <w:rPr>
                <w:rFonts w:ascii="Times New Roman" w:cs="Times New Roman" w:eastAsia="Times New Roman" w:hAnsi="Times New Roman"/>
                <w:sz w:val="18"/>
                <w:szCs w:val="18"/>
                <w:color w:val="auto"/>
              </w:rPr>
              <w:t>43,971</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(8,073 )</w:t>
            </w:r>
          </w:p>
        </w:tc>
        <w:tc>
          <w:tcPr>
            <w:tcW w:w="280" w:type="dxa"/>
            <w:vAlign w:val="bottom"/>
          </w:tcPr>
          <w:p>
            <w:pPr>
              <w:spacing w:after="0"/>
              <w:rPr>
                <w:sz w:val="20"/>
                <w:szCs w:val="20"/>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8"/>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740" w:type="dxa"/>
            <w:vAlign w:val="bottom"/>
          </w:tcPr>
          <w:p>
            <w:pPr>
              <w:jc w:val="center"/>
              <w:ind w:left="120"/>
              <w:spacing w:after="0"/>
              <w:rPr>
                <w:sz w:val="20"/>
                <w:szCs w:val="20"/>
                <w:color w:val="auto"/>
              </w:rPr>
            </w:pPr>
            <w:r>
              <w:rPr>
                <w:rFonts w:ascii="Times New Roman" w:cs="Times New Roman" w:eastAsia="Times New Roman" w:hAnsi="Times New Roman"/>
                <w:sz w:val="18"/>
                <w:szCs w:val="18"/>
                <w:color w:val="auto"/>
              </w:rPr>
              <w:t>14,561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(1,994 )</w:t>
            </w:r>
          </w:p>
        </w:tc>
        <w:tc>
          <w:tcPr>
            <w:tcW w:w="280" w:type="dxa"/>
            <w:vAlign w:val="bottom"/>
          </w:tcPr>
          <w:p>
            <w:pPr>
              <w:spacing w:after="0"/>
              <w:rPr>
                <w:sz w:val="20"/>
                <w:szCs w:val="20"/>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2"/>
              </w:rPr>
              <w:t>(12 )%</w:t>
            </w: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6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ind w:left="120"/>
              <w:spacing w:after="0"/>
              <w:rPr>
                <w:sz w:val="20"/>
                <w:szCs w:val="20"/>
                <w:color w:val="auto"/>
              </w:rPr>
            </w:pPr>
            <w:r>
              <w:rPr>
                <w:rFonts w:ascii="Times New Roman" w:cs="Times New Roman" w:eastAsia="Times New Roman" w:hAnsi="Times New Roman"/>
                <w:sz w:val="18"/>
                <w:szCs w:val="18"/>
                <w:color w:val="auto"/>
              </w:rPr>
              <w:t>58,532</w:t>
            </w:r>
          </w:p>
        </w:tc>
        <w:tc>
          <w:tcPr>
            <w:tcW w:w="200" w:type="dxa"/>
            <w:vAlign w:val="bottom"/>
          </w:tcPr>
          <w:p>
            <w:pPr>
              <w:spacing w:after="0"/>
              <w:rPr>
                <w:sz w:val="20"/>
                <w:szCs w:val="20"/>
                <w:color w:val="auto"/>
              </w:rPr>
            </w:pPr>
          </w:p>
        </w:tc>
        <w:tc>
          <w:tcPr>
            <w:tcW w:w="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68,599</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(10,067 )</w:t>
            </w:r>
          </w:p>
        </w:tc>
        <w:tc>
          <w:tcPr>
            <w:tcW w:w="280" w:type="dxa"/>
            <w:vAlign w:val="bottom"/>
          </w:tcPr>
          <w:p>
            <w:pPr>
              <w:spacing w:after="0"/>
              <w:rPr>
                <w:sz w:val="20"/>
                <w:szCs w:val="20"/>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-342265</wp:posOffset>
            </wp:positionV>
            <wp:extent cx="5700395"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was $44.0 million for the year ended December 31, 2023 compared to $52.0 million for the year ended December 31, 2022. The decrease of $8.0 million was due to decreases of clinical development costs of $3.2 million for SYNB8802, $2.8 million for SYNB1618, $1.9 million for SYNB1353, and $1.3 million for SYNB1891. There were additional decreases of $4.8 million in compensation, benefits and other employee-related expenses, $2.9 million in other early development candidates and unallocated costs. These decreases were offset by increases of clinical development costs of $8.9 million for Labafenogene marselecobac (SYNB1934).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$14.6 million for the year ended December 31, 2023 compared to $16.6 million for the year ended December 31, 2022. The decrease of $2.0 million was primarily attributable to decreased professional services costs, and lower compensation, benefits and other employee-related expenses due to reduced headcount.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3"/>
          </w:tcPr>
          <w:p>
            <w:pPr>
              <w:jc w:val="center"/>
              <w:ind w:right="533"/>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00" w:type="dxa"/>
            <w:vAlign w:val="bottom"/>
          </w:tcPr>
          <w:p>
            <w:pPr>
              <w:spacing w:after="0"/>
              <w:rPr>
                <w:sz w:val="20"/>
                <w:szCs w:val="20"/>
                <w:color w:val="auto"/>
              </w:rPr>
            </w:pPr>
          </w:p>
        </w:tc>
        <w:tc>
          <w:tcPr>
            <w:tcW w:w="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38"/>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0"/>
                <w:szCs w:val="20"/>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purchase warrant liability</w:t>
            </w:r>
          </w:p>
        </w:tc>
        <w:tc>
          <w:tcPr>
            <w:tcW w:w="200" w:type="dxa"/>
            <w:vAlign w:val="bottom"/>
          </w:tcPr>
          <w:p>
            <w:pPr>
              <w:spacing w:after="0"/>
              <w:rPr>
                <w:sz w:val="21"/>
                <w:szCs w:val="21"/>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(4,058 )</w:t>
            </w:r>
          </w:p>
        </w:tc>
        <w:tc>
          <w:tcPr>
            <w:tcW w:w="3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(4,058 )</w:t>
            </w:r>
          </w:p>
        </w:tc>
        <w:tc>
          <w:tcPr>
            <w:tcW w:w="280" w:type="dxa"/>
            <w:vAlign w:val="bottom"/>
          </w:tcPr>
          <w:p>
            <w:pPr>
              <w:spacing w:after="0"/>
              <w:rPr>
                <w:sz w:val="21"/>
                <w:szCs w:val="21"/>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Pr>
          <w:p>
            <w:pPr>
              <w:spacing w:after="0"/>
              <w:rPr>
                <w:sz w:val="21"/>
                <w:szCs w:val="21"/>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(517 )</w:t>
            </w: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(524 )</w:t>
            </w:r>
          </w:p>
        </w:tc>
        <w:tc>
          <w:tcPr>
            <w:tcW w:w="2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(7486 )%</w:t>
            </w: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6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(2,107 )</w:t>
            </w:r>
          </w:p>
        </w:tc>
        <w:tc>
          <w:tcPr>
            <w:tcW w:w="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(3,379 )</w:t>
            </w:r>
          </w:p>
        </w:tc>
        <w:tc>
          <w:tcPr>
            <w:tcW w:w="2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-650875</wp:posOffset>
            </wp:positionV>
            <wp:extent cx="570039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-342265</wp:posOffset>
            </wp:positionV>
            <wp:extent cx="5700395"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1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Other expense for the year ended December 31, 2023 was $2.11 million compared to other income of $1.30 million for the corresponding period in 2022. The decrease in other income (expense) of $3.4 million was due to an increase in other expense primarily relating to the change in fair value of the purchase warrants classified as liabilities on the consolidated balance sheet. This increase of expense was offset by an increase to income earned on our cash, cash equivalents and short-term investment balances, primarily related to higher interest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losses since our inception on March 14, 2014 and as of December 31, 2023, we had an accumulated deficit of $414.3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prior collaborations, interest earned on investments, and cash received in the Merger. At December 31, 2023, we had $47.7 million in cash, cash equivalents, and short-term marketable securities. Our cash and cash equivalents include amounts held in money market funds, stated at cost plus unrealized gain and loss, which approximates fair market value. Our available-for-sale securities include amounts held in commercial paper and U.S.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our cash, cash equivalents and marketable securities balance decreased $29.9 million. This decrease was primarily due to the cash used to operate our business, including payments related to, among other things,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8" w:name="page89"/>
    <w:bookmarkEnd w:id="88"/>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and general and administrative expenses as we continue to invest in our primary drug candidates and support the development of our proprietary platform. These decreases were offset by the proceeds from maturity of marketable securities.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cash equivalents and restricted cash for each of the periods below:</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61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169"/>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(used in) provided by</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(51,614 )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(56,888 )</w:t>
            </w:r>
          </w:p>
        </w:tc>
      </w:tr>
      <w:tr>
        <w:trPr>
          <w:trHeight w:val="247"/>
        </w:trPr>
        <w:tc>
          <w:tcPr>
            <w:tcW w:w="6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58,351</w:t>
            </w:r>
          </w:p>
        </w:tc>
        <w:tc>
          <w:tcPr>
            <w:tcW w:w="80" w:type="dxa"/>
            <w:vAlign w:val="bottom"/>
            <w:shd w:val="clear" w:color="auto" w:fill="CFF0FC"/>
          </w:tcPr>
          <w:p>
            <w:pPr>
              <w:spacing w:after="0"/>
              <w:rPr>
                <w:sz w:val="21"/>
                <w:szCs w:val="21"/>
                <w:color w:val="auto"/>
              </w:rPr>
            </w:pPr>
          </w:p>
        </w:tc>
      </w:tr>
      <w:tr>
        <w:trPr>
          <w:trHeight w:val="239"/>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(2,040 )</w:t>
            </w:r>
          </w:p>
        </w:tc>
      </w:tr>
      <w:tr>
        <w:trPr>
          <w:trHeight w:val="20"/>
        </w:trPr>
        <w:tc>
          <w:tcPr>
            <w:tcW w:w="6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(577 )</w:t>
            </w: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$51.6 million for the year ended December 31, 2023. The primary use of cash was our net loss of $57.3 million and changes in our assets and liabilities of $6.2 million, partially offset by $11.9 million of non-cash items primarily including the change in fair value of purchase warrants, depreciation, equity-based compensation, and the right of use asset. The changes in our assets and liabilities include decreases in the operating lease liability, increases in prepaid expenses and other current assets, decreases in prepaid research and development expenses, decreases in accounts payable and accrued expenses, and decreased deferred revenue.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$56.9 million for the year ended December 31, 2022. The primary use of cash was our net loss of $66.1 million, partially offset by changes in our assets and liabilities of $0.7 million and $8.5 million of non-cash items primarily including depreciation, equity-based compensation, and the right of use asset. The changes in our assets and liabilities include decreases in the operating lease liability, decreases in prepaid expenses and other current assets, increases in prepaid research and development expenses, increases in accounts payable and accrued expenses, and increased deferred 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was $38.8 million and resulted primarily from the proceeds from maturity of marketable securities of $66.9 million. This was offset by the purchases of marketable securities of $27.9 million and property and equipment of $0.2 million.</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2022 was $58.4 million and resulted primarily from the proceeds from maturity of marketable securities of $141.9 million. This was offset by the purchases of marketable securities of $82.8 million and property and equipment of $0.7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totaled $20.9 million, primarily related to net proceeds of $19.6 million from the issuance of our common stock, pre-funded warrants and purchase warrants in an underwritten public offering in October 2023, $1.2 million from the sale of our common stock in the ATM offering program, and $0.1 million of proceeds received from stock option exercises and purchases made pursuant to our employee stock purchase plan.</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totaled $2.0 million, primarily related to the repurchase of our common stock of $2.5 million, partially offset by $0.3 million from the sale of our common stock in the ATM offering program, and $0.2 million of proceeds received from stock option exercises and purchases made pursuant to our employee stock purchase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currently expect our expenses to decrease in the near term due to our decision to discontinue our Synpheny-3 clinical trial and conduct workforce reductions while we explore strategic alternatives. Pending the outcome of our review of strategic alternatives, should we decide to continue to advance the clinical development of our product candidates, we expect to incur additional costs in connection with such activities.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9" w:name="page90"/>
    <w:bookmarkEnd w:id="89"/>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generated revenue from our Roche collaboration and previous collaborations, but have not generated any product revenue since our inception and do not expect to generate any product revenue unless we receive regulatory approval for our product candidates. Absent any other action, we would require additional liquidity to continue operations over the next 12 months, which raises substantial doubt about our ability to continue as a going concern. As discussed in Note 18, Subsequent Events, in February 2024, management and our board of directors approved a plan to discontinue the Synpheny-3 trial, evaluate strategic options and significantly reduce our workforce. We project that this plan will alleviate the substantial doubt that has been raised through significantly decreasing expenses thereby reducing ongoing liquidity needs to enable the continuation of the evaluation of strategic alternatives for at least 12 months from the issuance date of these financial statements.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will depend on many factors, including, but not limited to, the following:</w:t>
      </w:r>
    </w:p>
    <w:p>
      <w:pPr>
        <w:spacing w:after="0" w:line="117" w:lineRule="exact"/>
        <w:rPr>
          <w:sz w:val="20"/>
          <w:szCs w:val="20"/>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success, timing and cost of any strategic transactions, business combinations or divestiture;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900" w:right="58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or by other health epidemics or pandemics;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and Obligations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also have certain significant contractual obligations and commitments that require funding. Our commitments for operating leases relate to our lease of office and laboratory space at 301 Binney Street in Cambridge, Massachusetts and the cGMP clean-room space leased from the Azzur Group, LLC, in Waltham, Massachusetts.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July 2017, we entered into an agreement to lease 41,346 square feet of laboratory and office space at 301 Binney Street in Cambridge, Massachusetts. Annual rent is $3.4 million. The ten-year lease commenced in January 2018 and contains provisions for a free-rent period, annual rent increases and an allowance for tenant improvements. Additionally, we have paid for a tenant improvement investment of $2.9 million. In conjunction with the lease, we established a letter of credit of a $1.0 million.</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December 7, 2018, Synlogic Operating Company, Inc., a wholly-owned subsidiary of the Company, entered into a Statement of Work (the First SOW) with Azzur Group, LLC (Azzur) pursuant to a Master Contract Services Agreement (the Master Services Agreement), dated September 8, 2018, between the Company and Azzur.</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Pursuant to the First SOW, Azzur agreed to provide the Company with access to, and the use of, an approximately 700 square foot cleanroom space to be constructed in Waltham, Massachusetts (the Azzur Suite), for a period of 44 months, from May 1, 2019 to December 31, 2022 (the Initial Term). Azzur also agreed to provide the Company with storage space and personnel support at the Azzur Suite. The total estimated project cost during the Initial Term for access to, and use of, the cleanroom and storage space, and the personnel support and other services, was $4.8 million.</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90" w:name="page91"/>
    <w:bookmarkEnd w:id="90"/>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April 2021, Synlogic entered into a new agreement (the Second SOW) with Azzur which replaced the First SOW. Pursuant to the Second SOW, Synlogic was granted access to, and use of, the Azzur Suite for a period of 20 months, from May 2021 to December 2022 (the Second Term). The Company determined that the agreement contained an embedded lease because the Company controls the use of the Azzur Suite. Accordingly, the fixed and in-substance fixed consideration under the agreement was used to remeasure the right-of-use (ROU) asset and lease liability at the effective date of the Second SOW.</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two Statements of Work with Azzur. Pursuant to the first of these SOWs (the Third SOW), the Company has agreed to pay Azzur $0.7 million to renovate and upgrade the cleanroom space at Azzur for the Company’s expanded use. The second of these SOWs (the Fourth SOW) replaces the Second SOW that the Company entered into with Azzur on April 29, 2021. The Fourth SOW extends the term of the lease, for the period beginning January 2022 through March 2023 (the Third Term). The Third and Fourth SOWs resulted in an adjustment to the operating lease right-of-use asset and corresponding operating lease liabilities of $1.8 million.</w:t>
      </w:r>
    </w:p>
    <w:p>
      <w:pPr>
        <w:spacing w:after="0" w:line="18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November 2022, the Company entered into a new agreement (the Fifth SOW) with Azzur that extended the term of the lease, for the period beginning April 2023 through December 2023 (the Fourth Term). The Fifth SOW contains two options to extend the lease, the first option goes through June 2024, and the second option goes through December 2024. The Fifth SOW resulted in an adjustment to the operating lease right-of-use asset and corresponding operating lease liabilities of $1.0 million.</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Company signed an addendum to exercise the First and Second Option to extend the lease as part of the Fifth SOW discussed above. Part of the addendum agreed to new payment terms that supersede the terms per the Fifth SOW with Azzur. The total remaining liability associated with the Azzur lease is approximately $2.2 million as of December 31, 2023.</w:t>
      </w:r>
    </w:p>
    <w:p>
      <w:pPr>
        <w:spacing w:after="0" w:line="176"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Fifth SOW on three months’ prior written notice at any time during the Term. In addition, either party may terminate the Master Services Agreement (including the SOWs) due to a breach by the other party and failure to cure. As of December 31, 2023, the Company is reasonably certain not to exercise the termination option through December 2024.</w:t>
      </w:r>
    </w:p>
    <w:p>
      <w:pPr>
        <w:spacing w:after="0" w:line="17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As we are a clinical stage company, we expect our most significant clinical trial expenditures will be with CROs and CMOs. These contracts generally are cancellable, with notice, at our option and do not have cancellation penalties.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alliances. If we cannot expand our operations or otherwise capitalize on our business opportunities because we lack sufficient capital, our business, financial condition and results of operations could be materially adversely affected.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read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 consolidated financial statements included elsewhere in this Annual Report on Form 10-K.</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this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independent registered public accounting firm report thereon, appear at pages F-1 through F-26 respectively,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disclosure controls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 In addition, our principal executive officer and principal financial officer have concluded that the impact of the COVID-19 pandemic did not impact our ability to maintain our internal controls over financial reporting and disclosure controls and procedures.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controls over financial reporting identified in connection with the evaluation of such internal control that occurred during our fiscal year ended December 31, 2023 that have materially affected, or are reasonably likely to materially affect, our internal controls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2023. In making this assessment, management used the criteria set forth by the Committee of Sponsoring Organizations of the Treadway Commission (COSO) in Internal Control-Integrated Framework (2013). Based on our assessment, management believes that, as of December 31, 2023, our internal control over financial reporting is effective based on those criteria.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the Effectiveness of Controls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controls are met. Because of the inherent limitations in all control systems, no evaluation of controls can provide absolute assurance that all control issues or misstatements, if any, within a company have been detected.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March 18, 2024, our board of directors appointed Antoine Awad, our Chief Operating Officer, as our Principal Executive Officer (principal executive officer). There were no changes to Mr. Awad’s employment or compensation arrangements, and (a) there are no understandings or arrangements between Mr. Awad and any other person pursuant to which he was appointed as our Principal Executive Officer and (b) Mr. Awad has no material interest in any transaction or proposed transaction in which we are or are to be a party. Mr. Awad’s qualifications and experience were included in the “Executive Officers” section of our Definitive Proxy Statement as filed with the U.S. Securities and Exchange Commission on May 1, 2023, and the description of such qualifications and experience is hereby incorporated by reference.</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Additionally, on March 18, 2024, our board of directors appointed May Beth Dooley, age 43, our Head of Finance, as our principal financial officer and principal accounting officer.</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Ms. Dooley has served as our Head of Finance since November 2023 and prior to that as our Controller since June 2018. Prior to joining us, Ms. Dooley worked as a senior manager of financial planning analysis at Idera Pharmaceuticals from July 2014 to May 2018, and prior to that, as an associate with PricewaterhouseCoopers from September 2012 to July 2014. Ms. Dooley received a B.A. from Bates College and an M.B.A. and a master’s degree in accounting from Northeastern University.</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Ms. Dooley previously entered into an offer letter with us dated April 11, 2018 (the “Offer Letter”). She receives a current base salary of $325,000 and is eligible to receive an annual bonus equal to 30% of her annualized base salary. The foregoing description of the material terms of the Offer Letter is qualified in its entirety by the full text of the Offer Letter, a copy of which is filed as an exhibit to this annual report on Form 10-K.</w:t>
      </w:r>
    </w:p>
    <w:p>
      <w:pPr>
        <w:spacing w:after="0" w:line="68"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Ms. Dooley has no family relationships with any of our directors or executive officers, and she has no direct or indirect material interest in any transaction required to be disclosed pursuant to Item 404(a) of Regulation S-K. In addition, there are no arrangements or understandings between Ms. Dooley and any other person pursuant to which she was selected as an officer.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2023, none of our directors or executive officers adopted, modified or terminated any contract, instruction or written plan for the purchase or sale of our securities that was intended to satisfy the affirmative defense conditions of Rule 10b5-1 (c) or any "non-Rule 10b5-1 trading arrangement."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Matters,” “Section 16(a) Beneficial Ownership Reporting Compliance,” and “Code of Conduct and Ethics” in the Company’s Proxy Statement for the 2024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“Executive Officer and Director Compensation” in the Company’s Proxy Statement for the 2024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“Security Ownership of Certain Beneficial Owners and Management” in the Company’s Proxy Statement for the 2024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“Certain Relationships and Related Person Transactions” and “Management and Corporate Governance” in the Company’s Proxy Statement for the 2024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“Independent Registered Public Accounting Firm” in the Company’s Proxy Statement for the 2024 Annual Meeting of Stockholders.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94" w:name="page95"/>
    <w:bookmarkEnd w:id="9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15(a).</w:t>
      </w:r>
      <w:r>
        <w:rPr>
          <w:sz w:val="20"/>
          <w:szCs w:val="20"/>
          <w:color w:val="auto"/>
        </w:rPr>
        <w:tab/>
      </w:r>
      <w:r>
        <w:rPr>
          <w:rFonts w:ascii="Times New Roman" w:cs="Times New Roman" w:eastAsia="Times New Roman" w:hAnsi="Times New Roman"/>
          <w:sz w:val="17"/>
          <w:szCs w:val="17"/>
          <w:color w:val="auto"/>
        </w:rPr>
        <w:t>The following documents are filed as part of this Annual Report on Form 10-K:</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15(a)(1) and (2) </w:t>
      </w:r>
      <w:r>
        <w:rPr>
          <w:rFonts w:ascii="Times New Roman" w:cs="Times New Roman" w:eastAsia="Times New Roman" w:hAnsi="Times New Roman"/>
          <w:sz w:val="18"/>
          <w:szCs w:val="18"/>
          <w:color w:val="auto"/>
        </w:rPr>
        <w:t>See “Consolidated Financial Statements and Supplementary Data” at Item 8 to this Annual Report on Form 10-K. Other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schedules have not been included because they are not applicable, or the information is included in the financial statements or notes thereto.</w:t>
      </w:r>
    </w:p>
    <w:p>
      <w:pPr>
        <w:spacing w:after="0" w:line="60" w:lineRule="exact"/>
        <w:rPr>
          <w:sz w:val="20"/>
          <w:szCs w:val="20"/>
          <w:color w:val="auto"/>
        </w:rPr>
      </w:pPr>
    </w:p>
    <w:p>
      <w:pPr>
        <w:ind w:right="21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15(a)(3) </w:t>
      </w:r>
      <w:r>
        <w:rPr>
          <w:rFonts w:ascii="Times New Roman" w:cs="Times New Roman" w:eastAsia="Times New Roman" w:hAnsi="Times New Roman"/>
          <w:sz w:val="18"/>
          <w:szCs w:val="18"/>
          <w:color w:val="auto"/>
        </w:rPr>
        <w:t>The following exhibits are filed as part of, or incorporated by reference into, this Annual Report on Form 10-K.</w:t>
      </w:r>
      <w:r>
        <w:rPr>
          <w:rFonts w:ascii="Times New Roman" w:cs="Times New Roman" w:eastAsia="Times New Roman" w:hAnsi="Times New Roman"/>
          <w:sz w:val="18"/>
          <w:szCs w:val="18"/>
          <w:b w:val="1"/>
          <w:bCs w:val="1"/>
          <w:color w:val="auto"/>
        </w:rPr>
        <w:t xml:space="preserve"> Exhibit Index</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780" w:type="dxa"/>
            <w:vAlign w:val="bottom"/>
          </w:tcPr>
          <w:p>
            <w:pPr>
              <w:spacing w:after="0"/>
              <w:rPr>
                <w:sz w:val="13"/>
                <w:szCs w:val="13"/>
                <w:color w:val="auto"/>
              </w:rPr>
            </w:pPr>
          </w:p>
        </w:tc>
        <w:tc>
          <w:tcPr>
            <w:tcW w:w="1420" w:type="dxa"/>
            <w:vAlign w:val="bottom"/>
            <w:vMerge w:val="restart"/>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94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780" w:type="dxa"/>
            <w:vAlign w:val="bottom"/>
            <w:vMerge w:val="restart"/>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80" w:type="dxa"/>
            <w:vAlign w:val="bottom"/>
            <w:gridSpan w:val="17"/>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2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94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780" w:type="dxa"/>
            <w:vAlign w:val="bottom"/>
            <w:vMerge w:val="continue"/>
          </w:tcPr>
          <w:p>
            <w:pPr>
              <w:spacing w:after="0"/>
              <w:rPr>
                <w:sz w:val="12"/>
                <w:szCs w:val="12"/>
                <w:color w:val="auto"/>
              </w:rPr>
            </w:pPr>
          </w:p>
        </w:tc>
        <w:tc>
          <w:tcPr>
            <w:tcW w:w="1420" w:type="dxa"/>
            <w:vAlign w:val="bottom"/>
          </w:tcPr>
          <w:p>
            <w:pPr>
              <w:jc w:val="center"/>
              <w:ind w:left="93"/>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7"/>
            <w:vMerge w:val="continue"/>
          </w:tcPr>
          <w:p>
            <w:pPr>
              <w:spacing w:after="0"/>
              <w:rPr>
                <w:sz w:val="16"/>
                <w:szCs w:val="16"/>
                <w:color w:val="auto"/>
              </w:rPr>
            </w:pPr>
          </w:p>
        </w:tc>
        <w:tc>
          <w:tcPr>
            <w:tcW w:w="11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19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78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3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Agreement and Plan of Merger and Reorganization,</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05/16/2017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dated as of May 15, 2017, by and among Mirna</w:t>
              </w:r>
            </w:hyperlink>
          </w:p>
        </w:tc>
        <w:tc>
          <w:tcPr>
            <w:tcW w:w="1120" w:type="dxa"/>
            <w:vAlign w:val="bottom"/>
          </w:tcPr>
          <w:p>
            <w:pPr>
              <w:spacing w:after="0"/>
              <w:rPr>
                <w:sz w:val="17"/>
                <w:szCs w:val="17"/>
                <w:color w:val="auto"/>
              </w:rPr>
            </w:pPr>
          </w:p>
        </w:tc>
        <w:tc>
          <w:tcPr>
            <w:tcW w:w="194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Therapeutics, Inc., Meerkat Merger Sub, Inc. and</w:t>
              </w:r>
            </w:hyperlink>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Synlogic, Inc.</w:t>
              </w:r>
            </w:hyperlink>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Certificate of Incorporation</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10/6/2015</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3.1)</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Certificate of Amendment (Reverse Stock Split) to</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the Amended and Restated Certificate of</w:t>
              </w:r>
            </w:hyperlink>
          </w:p>
        </w:tc>
        <w:tc>
          <w:tcPr>
            <w:tcW w:w="1120" w:type="dxa"/>
            <w:vAlign w:val="bottom"/>
          </w:tcPr>
          <w:p>
            <w:pPr>
              <w:spacing w:after="0"/>
              <w:rPr>
                <w:sz w:val="17"/>
                <w:szCs w:val="17"/>
                <w:color w:val="auto"/>
              </w:rPr>
            </w:pPr>
          </w:p>
        </w:tc>
        <w:tc>
          <w:tcPr>
            <w:tcW w:w="194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Incorporation, dated August 25, 2017</w:t>
              </w:r>
            </w:hyperlink>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Certificate of Amendment (Name Change) to the</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Amended and Restated Certificate of Incorporation</w:t>
              </w:r>
            </w:hyperlink>
          </w:p>
        </w:tc>
        <w:tc>
          <w:tcPr>
            <w:tcW w:w="1120" w:type="dxa"/>
            <w:vAlign w:val="bottom"/>
          </w:tcPr>
          <w:p>
            <w:pPr>
              <w:spacing w:after="0"/>
              <w:rPr>
                <w:sz w:val="17"/>
                <w:szCs w:val="17"/>
                <w:color w:val="auto"/>
              </w:rPr>
            </w:pPr>
          </w:p>
        </w:tc>
        <w:tc>
          <w:tcPr>
            <w:tcW w:w="194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3.2)</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Certificate of Amendment to the Amended and</w:t>
              </w:r>
            </w:hyperlink>
          </w:p>
        </w:tc>
        <w:tc>
          <w:tcPr>
            <w:tcW w:w="1120" w:type="dxa"/>
            <w:vAlign w:val="bottom"/>
          </w:tcPr>
          <w:p>
            <w:pPr>
              <w:spacing w:after="0"/>
              <w:rPr>
                <w:sz w:val="24"/>
                <w:szCs w:val="24"/>
                <w:color w:val="auto"/>
              </w:rPr>
            </w:pPr>
          </w:p>
        </w:tc>
        <w:tc>
          <w:tcPr>
            <w:tcW w:w="1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6/15/2023</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Restated Certificate of Incorporation of Synlogic,</w:t>
              </w:r>
            </w:hyperlink>
          </w:p>
        </w:tc>
        <w:tc>
          <w:tcPr>
            <w:tcW w:w="1120" w:type="dxa"/>
            <w:vAlign w:val="bottom"/>
          </w:tcPr>
          <w:p>
            <w:pPr>
              <w:spacing w:after="0"/>
              <w:rPr>
                <w:sz w:val="17"/>
                <w:szCs w:val="17"/>
                <w:color w:val="auto"/>
              </w:rPr>
            </w:pPr>
          </w:p>
        </w:tc>
        <w:tc>
          <w:tcPr>
            <w:tcW w:w="194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 dated June 15, 2023</w:t>
              </w:r>
            </w:hyperlink>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3.5</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Certificate of Amendment (Reverse Stock Split) to</w:t>
              </w:r>
            </w:hyperlink>
          </w:p>
        </w:tc>
        <w:tc>
          <w:tcPr>
            <w:tcW w:w="1120" w:type="dxa"/>
            <w:vAlign w:val="bottom"/>
          </w:tcPr>
          <w:p>
            <w:pPr>
              <w:spacing w:after="0"/>
              <w:rPr>
                <w:sz w:val="24"/>
                <w:szCs w:val="24"/>
                <w:color w:val="auto"/>
              </w:rPr>
            </w:pPr>
          </w:p>
        </w:tc>
        <w:tc>
          <w:tcPr>
            <w:tcW w:w="1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9/28/2023</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the Amended and Restated Certificate of</w:t>
              </w:r>
            </w:hyperlink>
          </w:p>
        </w:tc>
        <w:tc>
          <w:tcPr>
            <w:tcW w:w="1120" w:type="dxa"/>
            <w:vAlign w:val="bottom"/>
          </w:tcPr>
          <w:p>
            <w:pPr>
              <w:spacing w:after="0"/>
              <w:rPr>
                <w:sz w:val="17"/>
                <w:szCs w:val="17"/>
                <w:color w:val="auto"/>
              </w:rPr>
            </w:pPr>
          </w:p>
        </w:tc>
        <w:tc>
          <w:tcPr>
            <w:tcW w:w="194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Incorporation of Synlogic, Inc., dated September 27,</w:t>
              </w:r>
            </w:hyperlink>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60" w:type="dxa"/>
            <w:vAlign w:val="bottom"/>
          </w:tcPr>
          <w:p>
            <w:pPr>
              <w:spacing w:after="0" w:line="196" w:lineRule="exact"/>
              <w:rPr>
                <w:rFonts w:ascii="Times New Roman" w:cs="Times New Roman" w:eastAsia="Times New Roman" w:hAnsi="Times New Roman"/>
                <w:sz w:val="18"/>
                <w:szCs w:val="18"/>
                <w:color w:val="0000FF"/>
                <w:w w:val="88"/>
              </w:rPr>
            </w:pPr>
            <w:hyperlink r:id="rId144">
              <w:r>
                <w:rPr>
                  <w:rFonts w:ascii="Times New Roman" w:cs="Times New Roman" w:eastAsia="Times New Roman" w:hAnsi="Times New Roman"/>
                  <w:sz w:val="18"/>
                  <w:szCs w:val="18"/>
                  <w:color w:val="0000FF"/>
                  <w:w w:val="88"/>
                </w:rPr>
                <w:t>2023</w:t>
              </w:r>
            </w:hyperlink>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3.6</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 and Restated Bylaws</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10/6/2015</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3.2)</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3.7</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Certificate of Designation of Series A Junior</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2/20/2024</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Participating Preferred Stock of Synlogic, Inc., as</w:t>
              </w:r>
            </w:hyperlink>
          </w:p>
        </w:tc>
        <w:tc>
          <w:tcPr>
            <w:tcW w:w="1120" w:type="dxa"/>
            <w:vAlign w:val="bottom"/>
          </w:tcPr>
          <w:p>
            <w:pPr>
              <w:spacing w:after="0"/>
              <w:rPr>
                <w:sz w:val="17"/>
                <w:szCs w:val="17"/>
                <w:color w:val="auto"/>
              </w:rPr>
            </w:pPr>
          </w:p>
        </w:tc>
        <w:tc>
          <w:tcPr>
            <w:tcW w:w="194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filed with the Secretary of State of the State of</w:t>
              </w:r>
            </w:hyperlink>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00" w:type="dxa"/>
            <w:vAlign w:val="bottom"/>
            <w:gridSpan w:val="19"/>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Delaware on February 20, 2024.</w:t>
              </w:r>
            </w:hyperlink>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Common Stock Certificate</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09/18/2015</w:t>
            </w:r>
          </w:p>
        </w:tc>
        <w:tc>
          <w:tcPr>
            <w:tcW w:w="14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333-206544</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4.2)</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Pre-Funded Warrant</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06/12/2019</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4.1)</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Pre-Funded Warrant</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9/29/2023</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4.1)</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Purchase Warrant</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9/29/2023</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4.2)</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3800" w:type="dxa"/>
            <w:vAlign w:val="bottom"/>
            <w:gridSpan w:val="1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Description of Securities</w:t>
              </w:r>
            </w:hyperlink>
          </w:p>
        </w:tc>
        <w:tc>
          <w:tcPr>
            <w:tcW w:w="112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03/12/2020</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4.3)</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04"/>
              <w:spacing w:after="0"/>
              <w:rPr>
                <w:sz w:val="20"/>
                <w:szCs w:val="20"/>
                <w:color w:val="auto"/>
              </w:rPr>
            </w:pPr>
            <w:r>
              <w:rPr>
                <w:rFonts w:ascii="Times New Roman" w:cs="Times New Roman" w:eastAsia="Times New Roman" w:hAnsi="Times New Roman"/>
                <w:sz w:val="18"/>
                <w:szCs w:val="18"/>
                <w:color w:val="auto"/>
              </w:rPr>
              <w:t>93</w:t>
            </w:r>
          </w:p>
        </w:tc>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162"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720" w:type="dxa"/>
            <w:vAlign w:val="bottom"/>
          </w:tcPr>
          <w:p>
            <w:pPr>
              <w:spacing w:after="0"/>
              <w:rPr>
                <w:sz w:val="13"/>
                <w:szCs w:val="13"/>
                <w:color w:val="auto"/>
              </w:rPr>
            </w:pPr>
          </w:p>
        </w:tc>
        <w:tc>
          <w:tcPr>
            <w:tcW w:w="1420" w:type="dxa"/>
            <w:vAlign w:val="bottom"/>
            <w:vMerge w:val="restart"/>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6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720" w:type="dxa"/>
            <w:vAlign w:val="bottom"/>
            <w:vMerge w:val="restart"/>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18"/>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206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720" w:type="dxa"/>
            <w:vAlign w:val="bottom"/>
            <w:vMerge w:val="continue"/>
          </w:tcPr>
          <w:p>
            <w:pPr>
              <w:spacing w:after="0"/>
              <w:rPr>
                <w:sz w:val="12"/>
                <w:szCs w:val="12"/>
                <w:color w:val="auto"/>
              </w:rPr>
            </w:pPr>
          </w:p>
        </w:tc>
        <w:tc>
          <w:tcPr>
            <w:tcW w:w="1420" w:type="dxa"/>
            <w:vAlign w:val="bottom"/>
          </w:tcPr>
          <w:p>
            <w:pPr>
              <w:jc w:val="center"/>
              <w:ind w:left="93"/>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8"/>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20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72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3"/>
        </w:trPr>
        <w:tc>
          <w:tcPr>
            <w:tcW w:w="118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3820" w:type="dxa"/>
            <w:vAlign w:val="bottom"/>
            <w:gridSpan w:val="21"/>
          </w:tcPr>
          <w:p>
            <w:pPr>
              <w:spacing w:after="0" w:line="182"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Rights Agreement, dated as of February 20, 2024,</w:t>
              </w:r>
            </w:hyperlink>
          </w:p>
        </w:tc>
        <w:tc>
          <w:tcPr>
            <w:tcW w:w="1040" w:type="dxa"/>
            <w:vAlign w:val="bottom"/>
          </w:tcPr>
          <w:p>
            <w:pPr>
              <w:spacing w:after="0"/>
              <w:rPr>
                <w:sz w:val="15"/>
                <w:szCs w:val="15"/>
                <w:color w:val="auto"/>
              </w:rPr>
            </w:pPr>
          </w:p>
        </w:tc>
        <w:tc>
          <w:tcPr>
            <w:tcW w:w="2060" w:type="dxa"/>
            <w:vAlign w:val="bottom"/>
          </w:tcPr>
          <w:p>
            <w:pPr>
              <w:jc w:val="center"/>
              <w:ind w:right="132"/>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line="182" w:lineRule="exact"/>
              <w:rPr>
                <w:sz w:val="20"/>
                <w:szCs w:val="20"/>
                <w:color w:val="auto"/>
              </w:rPr>
            </w:pPr>
            <w:r>
              <w:rPr>
                <w:rFonts w:ascii="Times New Roman" w:cs="Times New Roman" w:eastAsia="Times New Roman" w:hAnsi="Times New Roman"/>
                <w:sz w:val="18"/>
                <w:szCs w:val="18"/>
                <w:color w:val="auto"/>
              </w:rPr>
              <w:t>2/20/2024</w:t>
            </w:r>
          </w:p>
        </w:tc>
        <w:tc>
          <w:tcPr>
            <w:tcW w:w="1420" w:type="dxa"/>
            <w:vAlign w:val="bottom"/>
          </w:tcPr>
          <w:p>
            <w:pPr>
              <w:jc w:val="center"/>
              <w:ind w:left="73"/>
              <w:spacing w:after="0" w:line="182" w:lineRule="exact"/>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between Synlogic, Inc. and Equiniti Trust Company</w:t>
              </w:r>
            </w:hyperlink>
          </w:p>
        </w:tc>
        <w:tc>
          <w:tcPr>
            <w:tcW w:w="104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4.1)</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LLC, as rights agent.</w:t>
              </w:r>
            </w:hyperlink>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820" w:type="dxa"/>
            <w:vAlign w:val="bottom"/>
            <w:gridSpan w:val="21"/>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2015 Equity Incentive Award Plan</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03/20/2018</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820" w:type="dxa"/>
            <w:vAlign w:val="bottom"/>
            <w:gridSpan w:val="21"/>
          </w:tcPr>
          <w:p>
            <w:pPr>
              <w:spacing w:after="0"/>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Form of Stock Option Grant Notice and Stock Option</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S-1/A</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09/11/2015</w:t>
            </w:r>
          </w:p>
        </w:tc>
        <w:tc>
          <w:tcPr>
            <w:tcW w:w="14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333-206544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Agreement under the 2015 Equity Incentive Award</w:t>
              </w:r>
            </w:hyperlink>
          </w:p>
        </w:tc>
        <w:tc>
          <w:tcPr>
            <w:tcW w:w="104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10.9(B))</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Plan.</w:t>
              </w:r>
            </w:hyperlink>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820" w:type="dxa"/>
            <w:vAlign w:val="bottom"/>
            <w:gridSpan w:val="21"/>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Restricted Stock Award Agreement and</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S-1/A</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09/11/2015</w:t>
            </w:r>
          </w:p>
        </w:tc>
        <w:tc>
          <w:tcPr>
            <w:tcW w:w="14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333-206544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Restricted Stock Unit Award Grant Notice under the</w:t>
              </w:r>
            </w:hyperlink>
          </w:p>
        </w:tc>
        <w:tc>
          <w:tcPr>
            <w:tcW w:w="104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10.9(C))</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2015 Equity Incentive Award Plan.</w:t>
              </w:r>
            </w:hyperlink>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20" w:type="dxa"/>
            <w:vAlign w:val="bottom"/>
            <w:gridSpan w:val="21"/>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2017 Stock Incentive Plan</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03/20/2018</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(Exhibit 10.4)</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820" w:type="dxa"/>
            <w:vAlign w:val="bottom"/>
            <w:gridSpan w:val="21"/>
          </w:tcPr>
          <w:p>
            <w:pPr>
              <w:spacing w:after="0"/>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Form of Stock Option Grant Notice and Stock Option</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10-Q</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11/13/2017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Agreement under 2017 Stock Incentive Plan.</w:t>
              </w:r>
            </w:hyperlink>
          </w:p>
        </w:tc>
        <w:tc>
          <w:tcPr>
            <w:tcW w:w="1040" w:type="dxa"/>
            <w:vAlign w:val="bottom"/>
          </w:tcPr>
          <w:p>
            <w:pPr>
              <w:spacing w:after="0"/>
              <w:rPr>
                <w:sz w:val="17"/>
                <w:szCs w:val="17"/>
                <w:color w:val="auto"/>
              </w:rPr>
            </w:pPr>
          </w:p>
        </w:tc>
        <w:tc>
          <w:tcPr>
            <w:tcW w:w="206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10.17)</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2023 Inducement Equity Incentive Award Plan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7"/>
              </w:rPr>
              <w:t>Form of Stock Option Grant Notice and Stock Option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Agreement under 2023 Inducement Equity Incentive</w:t>
            </w:r>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Award Plan</w:t>
            </w:r>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820" w:type="dxa"/>
            <w:vAlign w:val="bottom"/>
            <w:gridSpan w:val="21"/>
          </w:tcPr>
          <w:p>
            <w:pPr>
              <w:spacing w:after="0" w:line="207"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Non</w:t>
              </w:r>
            </w:hyperlink>
            <w:r>
              <w:rPr>
                <w:rFonts w:ascii="MS PGothic" w:cs="MS PGothic" w:eastAsia="MS PGothic" w:hAnsi="MS PGothic"/>
                <w:sz w:val="18"/>
                <w:szCs w:val="18"/>
                <w:color w:val="0000FF"/>
              </w:rPr>
              <w:t>‑</w:t>
            </w:r>
            <w:hyperlink r:id="rId160">
              <w:r>
                <w:rPr>
                  <w:rFonts w:ascii="Times New Roman" w:cs="Times New Roman" w:eastAsia="Times New Roman" w:hAnsi="Times New Roman"/>
                  <w:sz w:val="18"/>
                  <w:szCs w:val="18"/>
                  <w:color w:val="0000FF"/>
                </w:rPr>
                <w:t>Employee Director Compensation Program.</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01/31/2020</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820" w:type="dxa"/>
            <w:vAlign w:val="bottom"/>
            <w:gridSpan w:val="21"/>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Indemnification Agreement between the</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S-1/A</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09/11/2015</w:t>
            </w:r>
          </w:p>
        </w:tc>
        <w:tc>
          <w:tcPr>
            <w:tcW w:w="14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333-206544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Company and each of its directors and officers</w:t>
              </w:r>
            </w:hyperlink>
          </w:p>
        </w:tc>
        <w:tc>
          <w:tcPr>
            <w:tcW w:w="1040" w:type="dxa"/>
            <w:vAlign w:val="bottom"/>
          </w:tcPr>
          <w:p>
            <w:pPr>
              <w:spacing w:after="0"/>
              <w:rPr>
                <w:sz w:val="17"/>
                <w:szCs w:val="17"/>
                <w:color w:val="auto"/>
              </w:rPr>
            </w:pPr>
          </w:p>
        </w:tc>
        <w:tc>
          <w:tcPr>
            <w:tcW w:w="206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10.13)</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820" w:type="dxa"/>
            <w:vAlign w:val="bottom"/>
            <w:gridSpan w:val="2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Offer Letter by and between Synlogic and Aoife M.</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Brennan, MB, BCh, BAO, MMSc, dated as of June</w:t>
              </w:r>
            </w:hyperlink>
          </w:p>
        </w:tc>
        <w:tc>
          <w:tcPr>
            <w:tcW w:w="104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10.6)</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20" w:type="dxa"/>
            <w:vAlign w:val="bottom"/>
            <w:gridSpan w:val="2"/>
          </w:tcPr>
          <w:p>
            <w:pPr>
              <w:spacing w:after="0" w:line="196" w:lineRule="exact"/>
              <w:rPr>
                <w:rFonts w:ascii="Times New Roman" w:cs="Times New Roman" w:eastAsia="Times New Roman" w:hAnsi="Times New Roman"/>
                <w:sz w:val="18"/>
                <w:szCs w:val="18"/>
                <w:color w:val="0000FF"/>
                <w:w w:val="91"/>
              </w:rPr>
            </w:pPr>
            <w:hyperlink r:id="rId162">
              <w:r>
                <w:rPr>
                  <w:rFonts w:ascii="Times New Roman" w:cs="Times New Roman" w:eastAsia="Times New Roman" w:hAnsi="Times New Roman"/>
                  <w:sz w:val="18"/>
                  <w:szCs w:val="18"/>
                  <w:color w:val="0000FF"/>
                  <w:w w:val="91"/>
                </w:rPr>
                <w:t>22, 2016</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820" w:type="dxa"/>
            <w:vAlign w:val="bottom"/>
            <w:gridSpan w:val="2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First Amendment to Offer Letter by and between</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Synlogic and Aoife M. Brennan, MB, BCh, BAO,</w:t>
              </w:r>
            </w:hyperlink>
          </w:p>
        </w:tc>
        <w:tc>
          <w:tcPr>
            <w:tcW w:w="104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10.7)</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MMSc, dated as of November 7, 2016</w:t>
              </w:r>
            </w:hyperlink>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EE"/>
            </w:tcBorders>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3820" w:type="dxa"/>
            <w:vAlign w:val="bottom"/>
            <w:gridSpan w:val="2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Second Amendment to Offer Letter by and between</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Synlogic and Aoife M. Brennan, MB, BCh, BAO,</w:t>
              </w:r>
            </w:hyperlink>
          </w:p>
        </w:tc>
        <w:tc>
          <w:tcPr>
            <w:tcW w:w="104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10.8)</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MMSc, dated as of May 8, 2017</w:t>
              </w:r>
            </w:hyperlink>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820" w:type="dxa"/>
            <w:vAlign w:val="bottom"/>
            <w:gridSpan w:val="21"/>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Third Amendment to Offer Letter dated as of June 5,</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10-Q</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08/9/2018</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2018, between Synlogic, Inc. and Aoife Brennan,</w:t>
              </w:r>
            </w:hyperlink>
          </w:p>
        </w:tc>
        <w:tc>
          <w:tcPr>
            <w:tcW w:w="104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MB, BCh, BAO, MMSc</w:t>
              </w:r>
            </w:hyperlink>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820" w:type="dxa"/>
            <w:vAlign w:val="bottom"/>
            <w:gridSpan w:val="21"/>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Amended and Restated Letter Agreement by and</w:t>
              </w:r>
            </w:hyperlink>
          </w:p>
        </w:tc>
        <w:tc>
          <w:tcPr>
            <w:tcW w:w="104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10-Q</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11/13/2018</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between Synlogic, Inc. and Aoife M. Brennan, MB,</w:t>
              </w:r>
            </w:hyperlink>
          </w:p>
        </w:tc>
        <w:tc>
          <w:tcPr>
            <w:tcW w:w="104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BCh, BAO, MMSc, dated as of October 1, 2018</w:t>
              </w:r>
            </w:hyperlink>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820" w:type="dxa"/>
            <w:vAlign w:val="bottom"/>
            <w:gridSpan w:val="2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to Employment Agreement dated</w:t>
              </w:r>
            </w:hyperlink>
          </w:p>
        </w:tc>
        <w:tc>
          <w:tcPr>
            <w:tcW w:w="1040" w:type="dxa"/>
            <w:vAlign w:val="bottom"/>
          </w:tcPr>
          <w:p>
            <w:pPr>
              <w:spacing w:after="0"/>
              <w:rPr>
                <w:sz w:val="24"/>
                <w:szCs w:val="24"/>
                <w:color w:val="auto"/>
              </w:rPr>
            </w:pPr>
          </w:p>
        </w:tc>
        <w:tc>
          <w:tcPr>
            <w:tcW w:w="206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12/29/2023</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gridSpan w:val="9"/>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December 26, 2023, by and between the Company,</w:t>
              </w:r>
            </w:hyperlink>
          </w:p>
        </w:tc>
        <w:tc>
          <w:tcPr>
            <w:tcW w:w="104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20" w:type="dxa"/>
            <w:vAlign w:val="bottom"/>
            <w:gridSpan w:val="1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20" w:type="dxa"/>
            <w:vAlign w:val="bottom"/>
            <w:gridSpan w:val="21"/>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and Aoife Brennan</w:t>
              </w:r>
            </w:hyperlink>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11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94</w:t>
            </w:r>
          </w:p>
        </w:tc>
        <w:tc>
          <w:tcPr>
            <w:tcW w:w="2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740" w:type="dxa"/>
            <w:vAlign w:val="bottom"/>
          </w:tcPr>
          <w:p>
            <w:pPr>
              <w:spacing w:after="0"/>
              <w:rPr>
                <w:sz w:val="13"/>
                <w:szCs w:val="13"/>
                <w:color w:val="auto"/>
              </w:rPr>
            </w:pPr>
          </w:p>
        </w:tc>
        <w:tc>
          <w:tcPr>
            <w:tcW w:w="1400" w:type="dxa"/>
            <w:vAlign w:val="bottom"/>
            <w:vMerge w:val="restart"/>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6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740" w:type="dxa"/>
            <w:vAlign w:val="bottom"/>
            <w:vMerge w:val="restart"/>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206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740" w:type="dxa"/>
            <w:vAlign w:val="bottom"/>
            <w:vMerge w:val="continue"/>
          </w:tcPr>
          <w:p>
            <w:pPr>
              <w:spacing w:after="0"/>
              <w:rPr>
                <w:sz w:val="12"/>
                <w:szCs w:val="12"/>
                <w:color w:val="auto"/>
              </w:rPr>
            </w:pPr>
          </w:p>
        </w:tc>
        <w:tc>
          <w:tcPr>
            <w:tcW w:w="1400" w:type="dxa"/>
            <w:vAlign w:val="bottom"/>
          </w:tcPr>
          <w:p>
            <w:pPr>
              <w:jc w:val="center"/>
              <w:ind w:left="75"/>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12"/>
            <w:vMerge w:val="continue"/>
          </w:tcPr>
          <w:p>
            <w:pPr>
              <w:spacing w:after="0"/>
              <w:rPr>
                <w:sz w:val="16"/>
                <w:szCs w:val="16"/>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20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74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0" w:type="dxa"/>
            <w:vAlign w:val="bottom"/>
            <w:tcBorders>
              <w:bottom w:val="single" w:sz="8" w:color="auto"/>
            </w:tcBorders>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10.16#</w:t>
            </w:r>
          </w:p>
        </w:tc>
        <w:tc>
          <w:tcPr>
            <w:tcW w:w="384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w w:val="98"/>
              </w:rPr>
              <w:t>Separation Agreement by and between Synlogic, Inc.</w:t>
            </w:r>
          </w:p>
        </w:tc>
        <w:tc>
          <w:tcPr>
            <w:tcW w:w="1020" w:type="dxa"/>
            <w:vAlign w:val="bottom"/>
          </w:tcPr>
          <w:p>
            <w:pPr>
              <w:jc w:val="center"/>
              <w:ind w:right="15"/>
              <w:spacing w:after="0" w:line="182" w:lineRule="exact"/>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and Aoife M. Brennan, MB, BCh, BAO, MMSc,</w:t>
            </w: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dated as of February 17, 2024</w:t>
            </w: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Employment Agreement dated as of January 24,</w:t>
              </w:r>
            </w:hyperlink>
          </w:p>
        </w:tc>
        <w:tc>
          <w:tcPr>
            <w:tcW w:w="1020" w:type="dxa"/>
            <w:vAlign w:val="bottom"/>
          </w:tcPr>
          <w:p>
            <w:pPr>
              <w:spacing w:after="0"/>
              <w:rPr>
                <w:sz w:val="24"/>
                <w:szCs w:val="24"/>
                <w:color w:val="auto"/>
              </w:rPr>
            </w:pPr>
          </w:p>
        </w:tc>
        <w:tc>
          <w:tcPr>
            <w:tcW w:w="206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03/03/2022</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2022, by and between Synlogic and Michael Jensen</w:t>
              </w:r>
            </w:hyperlink>
          </w:p>
        </w:tc>
        <w:tc>
          <w:tcPr>
            <w:tcW w:w="1020" w:type="dxa"/>
            <w:vAlign w:val="bottom"/>
          </w:tcPr>
          <w:p>
            <w:pPr>
              <w:spacing w:after="0"/>
              <w:rPr>
                <w:sz w:val="17"/>
                <w:szCs w:val="17"/>
                <w:color w:val="auto"/>
              </w:rPr>
            </w:pPr>
          </w:p>
        </w:tc>
        <w:tc>
          <w:tcPr>
            <w:tcW w:w="206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Separation Agreement by and between Synlogic, Inc.</w:t>
            </w: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and Michael Jensen, dated as of November 13, 2023</w:t>
            </w: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Employment Letter Agreement dated November 28,</w:t>
              </w:r>
            </w:hyperlink>
          </w:p>
        </w:tc>
        <w:tc>
          <w:tcPr>
            <w:tcW w:w="1020" w:type="dxa"/>
            <w:vAlign w:val="bottom"/>
          </w:tcPr>
          <w:p>
            <w:pPr>
              <w:spacing w:after="0"/>
              <w:rPr>
                <w:sz w:val="24"/>
                <w:szCs w:val="24"/>
                <w:color w:val="auto"/>
              </w:rPr>
            </w:pPr>
          </w:p>
        </w:tc>
        <w:tc>
          <w:tcPr>
            <w:tcW w:w="206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10-K</w:t>
            </w:r>
          </w:p>
        </w:tc>
        <w:tc>
          <w:tcPr>
            <w:tcW w:w="17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03/25/2021</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2018, by and between Synlogic and Antoine Awad</w:t>
              </w:r>
            </w:hyperlink>
          </w:p>
        </w:tc>
        <w:tc>
          <w:tcPr>
            <w:tcW w:w="1020" w:type="dxa"/>
            <w:vAlign w:val="bottom"/>
          </w:tcPr>
          <w:p>
            <w:pPr>
              <w:spacing w:after="0"/>
              <w:rPr>
                <w:sz w:val="17"/>
                <w:szCs w:val="17"/>
                <w:color w:val="auto"/>
              </w:rPr>
            </w:pPr>
          </w:p>
        </w:tc>
        <w:tc>
          <w:tcPr>
            <w:tcW w:w="206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rPr>
              <w:t>(Exhibit 10.14.1)</w:t>
            </w: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Promotion Letter, dated July 21, 2020, for Antoine</w:t>
              </w:r>
            </w:hyperlink>
          </w:p>
        </w:tc>
        <w:tc>
          <w:tcPr>
            <w:tcW w:w="1020" w:type="dxa"/>
            <w:vAlign w:val="bottom"/>
          </w:tcPr>
          <w:p>
            <w:pPr>
              <w:spacing w:after="0"/>
              <w:rPr>
                <w:sz w:val="24"/>
                <w:szCs w:val="24"/>
                <w:color w:val="auto"/>
              </w:rPr>
            </w:pPr>
          </w:p>
        </w:tc>
        <w:tc>
          <w:tcPr>
            <w:tcW w:w="206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10-K</w:t>
            </w:r>
          </w:p>
        </w:tc>
        <w:tc>
          <w:tcPr>
            <w:tcW w:w="17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03/25/2021</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Awad</w:t>
              </w:r>
            </w:hyperlink>
          </w:p>
        </w:tc>
        <w:tc>
          <w:tcPr>
            <w:tcW w:w="1020" w:type="dxa"/>
            <w:vAlign w:val="bottom"/>
          </w:tcPr>
          <w:p>
            <w:pPr>
              <w:spacing w:after="0"/>
              <w:rPr>
                <w:sz w:val="17"/>
                <w:szCs w:val="17"/>
                <w:color w:val="auto"/>
              </w:rPr>
            </w:pPr>
          </w:p>
        </w:tc>
        <w:tc>
          <w:tcPr>
            <w:tcW w:w="206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rPr>
              <w:t>(Exhibit 10.14.2)</w:t>
            </w: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Amendment to Employment Agreement dated</w:t>
              </w:r>
            </w:hyperlink>
          </w:p>
        </w:tc>
        <w:tc>
          <w:tcPr>
            <w:tcW w:w="1020" w:type="dxa"/>
            <w:vAlign w:val="bottom"/>
          </w:tcPr>
          <w:p>
            <w:pPr>
              <w:spacing w:after="0"/>
              <w:rPr>
                <w:sz w:val="24"/>
                <w:szCs w:val="24"/>
                <w:color w:val="auto"/>
              </w:rPr>
            </w:pPr>
          </w:p>
        </w:tc>
        <w:tc>
          <w:tcPr>
            <w:tcW w:w="206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12/29/2023</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December 16, 2023, by and between the Company</w:t>
              </w:r>
            </w:hyperlink>
          </w:p>
        </w:tc>
        <w:tc>
          <w:tcPr>
            <w:tcW w:w="1020" w:type="dxa"/>
            <w:vAlign w:val="bottom"/>
          </w:tcPr>
          <w:p>
            <w:pPr>
              <w:spacing w:after="0"/>
              <w:rPr>
                <w:sz w:val="17"/>
                <w:szCs w:val="17"/>
                <w:color w:val="auto"/>
              </w:rPr>
            </w:pPr>
          </w:p>
        </w:tc>
        <w:tc>
          <w:tcPr>
            <w:tcW w:w="206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8"/>
              </w:rPr>
              <w:t>(Exhibit 10.2)</w:t>
            </w: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and Antoine Awad</w:t>
              </w:r>
            </w:hyperlink>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Separation Agreement by and between Synlogic, Inc.</w:t>
            </w: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and Antoine Awad, dated as of February 17, 2024</w:t>
            </w: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Retention Bonus Agreement by and between</w:t>
            </w: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Synlogic, Inc. and Antoine Awad, dated as of March</w:t>
            </w: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2"/>
              </w:rPr>
              <w:t>7, 2024</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Employment Letter Agreement dated April 11, 2018</w:t>
            </w: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7"/>
              </w:rPr>
              <w:t>by and between Synlogic, Inc. and Mary Beth Dooley</w:t>
            </w: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Retention Bonus Agreement by and between</w:t>
            </w: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Synlogic, Inc. and Mary Beth Dooley, dated as of</w:t>
            </w: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March 7, 2024</w:t>
            </w: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License Agreement by and between Synlogic, Inc.</w:t>
              </w:r>
            </w:hyperlink>
          </w:p>
        </w:tc>
        <w:tc>
          <w:tcPr>
            <w:tcW w:w="1020" w:type="dxa"/>
            <w:vAlign w:val="bottom"/>
          </w:tcPr>
          <w:p>
            <w:pPr>
              <w:spacing w:after="0"/>
              <w:rPr>
                <w:sz w:val="24"/>
                <w:szCs w:val="24"/>
                <w:color w:val="auto"/>
              </w:rPr>
            </w:pPr>
          </w:p>
        </w:tc>
        <w:tc>
          <w:tcPr>
            <w:tcW w:w="206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08/28/2017</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and Synlogic IBDCo, Inc., dated as of July 16, 2015</w:t>
              </w:r>
            </w:hyperlink>
          </w:p>
        </w:tc>
        <w:tc>
          <w:tcPr>
            <w:tcW w:w="1020" w:type="dxa"/>
            <w:vAlign w:val="bottom"/>
          </w:tcPr>
          <w:p>
            <w:pPr>
              <w:spacing w:after="0"/>
              <w:rPr>
                <w:sz w:val="17"/>
                <w:szCs w:val="17"/>
                <w:color w:val="auto"/>
              </w:rPr>
            </w:pPr>
          </w:p>
        </w:tc>
        <w:tc>
          <w:tcPr>
            <w:tcW w:w="2060" w:type="dxa"/>
            <w:vAlign w:val="bottom"/>
          </w:tcPr>
          <w:p>
            <w:pPr>
              <w:jc w:val="center"/>
              <w:ind w:right="113"/>
              <w:spacing w:after="0" w:line="196" w:lineRule="exact"/>
              <w:rPr>
                <w:sz w:val="20"/>
                <w:szCs w:val="20"/>
                <w:color w:val="auto"/>
              </w:rPr>
            </w:pPr>
            <w:r>
              <w:rPr>
                <w:rFonts w:ascii="Times New Roman" w:cs="Times New Roman" w:eastAsia="Times New Roman" w:hAnsi="Times New Roman"/>
                <w:sz w:val="18"/>
                <w:szCs w:val="18"/>
                <w:color w:val="auto"/>
                <w:w w:val="99"/>
              </w:rPr>
              <w:t>(Exhibit 10.13)</w:t>
            </w: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Sales Agreement, dated as of July 23, 2021 by and</w:t>
              </w:r>
            </w:hyperlink>
          </w:p>
        </w:tc>
        <w:tc>
          <w:tcPr>
            <w:tcW w:w="1020" w:type="dxa"/>
            <w:vAlign w:val="bottom"/>
          </w:tcPr>
          <w:p>
            <w:pPr>
              <w:spacing w:after="0"/>
              <w:rPr>
                <w:sz w:val="24"/>
                <w:szCs w:val="24"/>
                <w:color w:val="auto"/>
              </w:rPr>
            </w:pPr>
          </w:p>
        </w:tc>
        <w:tc>
          <w:tcPr>
            <w:tcW w:w="206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11/10/2021</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between the registrant and Jefferies LLC</w:t>
              </w:r>
            </w:hyperlink>
          </w:p>
        </w:tc>
        <w:tc>
          <w:tcPr>
            <w:tcW w:w="1020" w:type="dxa"/>
            <w:vAlign w:val="bottom"/>
          </w:tcPr>
          <w:p>
            <w:pPr>
              <w:spacing w:after="0"/>
              <w:rPr>
                <w:sz w:val="17"/>
                <w:szCs w:val="17"/>
                <w:color w:val="auto"/>
              </w:rPr>
            </w:pPr>
          </w:p>
        </w:tc>
        <w:tc>
          <w:tcPr>
            <w:tcW w:w="206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9"/>
              </w:rPr>
              <w:t>(Exhibit 1.1)</w:t>
            </w: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Master Contract Services Agreement, dated as of</w:t>
              </w:r>
            </w:hyperlink>
          </w:p>
        </w:tc>
        <w:tc>
          <w:tcPr>
            <w:tcW w:w="1020" w:type="dxa"/>
            <w:vAlign w:val="bottom"/>
          </w:tcPr>
          <w:p>
            <w:pPr>
              <w:spacing w:after="0"/>
              <w:rPr>
                <w:sz w:val="24"/>
                <w:szCs w:val="24"/>
                <w:color w:val="auto"/>
              </w:rPr>
            </w:pPr>
          </w:p>
        </w:tc>
        <w:tc>
          <w:tcPr>
            <w:tcW w:w="206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10-K</w:t>
            </w:r>
          </w:p>
        </w:tc>
        <w:tc>
          <w:tcPr>
            <w:tcW w:w="17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03/12/2019</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w w:val="97"/>
              </w:rPr>
            </w:pPr>
            <w:hyperlink r:id="rId176">
              <w:r>
                <w:rPr>
                  <w:rFonts w:ascii="Times New Roman" w:cs="Times New Roman" w:eastAsia="Times New Roman" w:hAnsi="Times New Roman"/>
                  <w:sz w:val="18"/>
                  <w:szCs w:val="18"/>
                  <w:color w:val="0000FF"/>
                  <w:w w:val="97"/>
                </w:rPr>
                <w:t>September 8, 2018, between Synlogic, Inc. and Azzur</w:t>
              </w:r>
            </w:hyperlink>
          </w:p>
        </w:tc>
        <w:tc>
          <w:tcPr>
            <w:tcW w:w="1020" w:type="dxa"/>
            <w:vAlign w:val="bottom"/>
          </w:tcPr>
          <w:p>
            <w:pPr>
              <w:spacing w:after="0"/>
              <w:rPr>
                <w:sz w:val="17"/>
                <w:szCs w:val="17"/>
                <w:color w:val="auto"/>
              </w:rPr>
            </w:pPr>
          </w:p>
        </w:tc>
        <w:tc>
          <w:tcPr>
            <w:tcW w:w="2060" w:type="dxa"/>
            <w:vAlign w:val="bottom"/>
          </w:tcPr>
          <w:p>
            <w:pPr>
              <w:jc w:val="center"/>
              <w:ind w:right="113"/>
              <w:spacing w:after="0" w:line="196" w:lineRule="exact"/>
              <w:rPr>
                <w:sz w:val="20"/>
                <w:szCs w:val="20"/>
                <w:color w:val="auto"/>
              </w:rPr>
            </w:pPr>
            <w:r>
              <w:rPr>
                <w:rFonts w:ascii="Times New Roman" w:cs="Times New Roman" w:eastAsia="Times New Roman" w:hAnsi="Times New Roman"/>
                <w:sz w:val="18"/>
                <w:szCs w:val="18"/>
                <w:color w:val="auto"/>
                <w:w w:val="99"/>
              </w:rPr>
              <w:t>(Exhibit 10.29)</w:t>
            </w: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Group (d/b/a Azzur of New England LLC).</w:t>
              </w:r>
            </w:hyperlink>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Statement of Work dated September 10, 2018</w:t>
              </w:r>
            </w:hyperlink>
          </w:p>
        </w:tc>
        <w:tc>
          <w:tcPr>
            <w:tcW w:w="1020" w:type="dxa"/>
            <w:vAlign w:val="bottom"/>
          </w:tcPr>
          <w:p>
            <w:pPr>
              <w:spacing w:after="0"/>
              <w:rPr>
                <w:sz w:val="24"/>
                <w:szCs w:val="24"/>
                <w:color w:val="auto"/>
              </w:rPr>
            </w:pPr>
          </w:p>
        </w:tc>
        <w:tc>
          <w:tcPr>
            <w:tcW w:w="206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10-K</w:t>
            </w:r>
          </w:p>
        </w:tc>
        <w:tc>
          <w:tcPr>
            <w:tcW w:w="17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03/12/2019</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pursuant to Master Contract Services Agreement</w:t>
              </w:r>
            </w:hyperlink>
          </w:p>
        </w:tc>
        <w:tc>
          <w:tcPr>
            <w:tcW w:w="1020" w:type="dxa"/>
            <w:vAlign w:val="bottom"/>
          </w:tcPr>
          <w:p>
            <w:pPr>
              <w:spacing w:after="0"/>
              <w:rPr>
                <w:sz w:val="17"/>
                <w:szCs w:val="17"/>
                <w:color w:val="auto"/>
              </w:rPr>
            </w:pPr>
          </w:p>
        </w:tc>
        <w:tc>
          <w:tcPr>
            <w:tcW w:w="2060" w:type="dxa"/>
            <w:vAlign w:val="bottom"/>
          </w:tcPr>
          <w:p>
            <w:pPr>
              <w:jc w:val="center"/>
              <w:ind w:right="113"/>
              <w:spacing w:after="0" w:line="196" w:lineRule="exact"/>
              <w:rPr>
                <w:sz w:val="20"/>
                <w:szCs w:val="20"/>
                <w:color w:val="auto"/>
              </w:rPr>
            </w:pPr>
            <w:r>
              <w:rPr>
                <w:rFonts w:ascii="Times New Roman" w:cs="Times New Roman" w:eastAsia="Times New Roman" w:hAnsi="Times New Roman"/>
                <w:sz w:val="18"/>
                <w:szCs w:val="18"/>
                <w:color w:val="auto"/>
                <w:w w:val="99"/>
              </w:rPr>
              <w:t>(Exhibit 10.30)</w:t>
            </w: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between Synlogic, Inc. and Azzur Group (d/b/a Azzur</w:t>
              </w:r>
            </w:hyperlink>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of New England LLC).</w:t>
              </w:r>
            </w:hyperlink>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3840" w:type="dxa"/>
            <w:vAlign w:val="bottom"/>
            <w:gridSpan w:val="17"/>
          </w:tcPr>
          <w:p>
            <w:pPr>
              <w:spacing w:after="0"/>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Statement of Work dated December 7, 2018 pursuant</w:t>
              </w:r>
            </w:hyperlink>
          </w:p>
        </w:tc>
        <w:tc>
          <w:tcPr>
            <w:tcW w:w="1020" w:type="dxa"/>
            <w:vAlign w:val="bottom"/>
          </w:tcPr>
          <w:p>
            <w:pPr>
              <w:spacing w:after="0"/>
              <w:rPr>
                <w:sz w:val="24"/>
                <w:szCs w:val="24"/>
                <w:color w:val="auto"/>
              </w:rPr>
            </w:pPr>
          </w:p>
        </w:tc>
        <w:tc>
          <w:tcPr>
            <w:tcW w:w="206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10-K</w:t>
            </w:r>
          </w:p>
        </w:tc>
        <w:tc>
          <w:tcPr>
            <w:tcW w:w="17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03/12/2019</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460" w:type="dxa"/>
            <w:vAlign w:val="bottom"/>
            <w:gridSpan w:val="9"/>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to Master Contract Services Agreement between</w:t>
              </w:r>
            </w:hyperlink>
          </w:p>
        </w:tc>
        <w:tc>
          <w:tcPr>
            <w:tcW w:w="1020" w:type="dxa"/>
            <w:vAlign w:val="bottom"/>
          </w:tcPr>
          <w:p>
            <w:pPr>
              <w:spacing w:after="0"/>
              <w:rPr>
                <w:sz w:val="17"/>
                <w:szCs w:val="17"/>
                <w:color w:val="auto"/>
              </w:rPr>
            </w:pPr>
          </w:p>
        </w:tc>
        <w:tc>
          <w:tcPr>
            <w:tcW w:w="2060" w:type="dxa"/>
            <w:vAlign w:val="bottom"/>
          </w:tcPr>
          <w:p>
            <w:pPr>
              <w:jc w:val="center"/>
              <w:ind w:right="113"/>
              <w:spacing w:after="0" w:line="196" w:lineRule="exact"/>
              <w:rPr>
                <w:sz w:val="20"/>
                <w:szCs w:val="20"/>
                <w:color w:val="auto"/>
              </w:rPr>
            </w:pPr>
            <w:r>
              <w:rPr>
                <w:rFonts w:ascii="Times New Roman" w:cs="Times New Roman" w:eastAsia="Times New Roman" w:hAnsi="Times New Roman"/>
                <w:sz w:val="18"/>
                <w:szCs w:val="18"/>
                <w:color w:val="auto"/>
                <w:w w:val="99"/>
              </w:rPr>
              <w:t>(Exhibit 10.31)</w:t>
            </w: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460" w:type="dxa"/>
            <w:vAlign w:val="bottom"/>
            <w:gridSpan w:val="9"/>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Synlogic, Inc. and Azzur Group (d/b/a Azzur of New</w:t>
              </w:r>
            </w:hyperlink>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780" w:type="dxa"/>
            <w:vAlign w:val="bottom"/>
            <w:gridSpan w:val="1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England LLC).</w:t>
              </w:r>
            </w:hyperlink>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118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95</w:t>
            </w: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780" w:type="dxa"/>
            <w:vAlign w:val="bottom"/>
          </w:tcPr>
          <w:p>
            <w:pPr>
              <w:spacing w:after="0"/>
              <w:rPr>
                <w:sz w:val="13"/>
                <w:szCs w:val="13"/>
                <w:color w:val="auto"/>
              </w:rPr>
            </w:pPr>
          </w:p>
        </w:tc>
        <w:tc>
          <w:tcPr>
            <w:tcW w:w="1400" w:type="dxa"/>
            <w:vAlign w:val="bottom"/>
            <w:vMerge w:val="restart"/>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98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780" w:type="dxa"/>
            <w:vAlign w:val="bottom"/>
            <w:vMerge w:val="restart"/>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gridSpan w:val="1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98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780" w:type="dxa"/>
            <w:vAlign w:val="bottom"/>
            <w:vMerge w:val="continue"/>
          </w:tcPr>
          <w:p>
            <w:pPr>
              <w:spacing w:after="0"/>
              <w:rPr>
                <w:sz w:val="12"/>
                <w:szCs w:val="12"/>
                <w:color w:val="auto"/>
              </w:rPr>
            </w:pPr>
          </w:p>
        </w:tc>
        <w:tc>
          <w:tcPr>
            <w:tcW w:w="1400" w:type="dxa"/>
            <w:vAlign w:val="bottom"/>
          </w:tcPr>
          <w:p>
            <w:pPr>
              <w:jc w:val="center"/>
              <w:ind w:left="75"/>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5"/>
            <w:vMerge w:val="continue"/>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19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78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0" w:type="dxa"/>
            <w:vAlign w:val="bottom"/>
            <w:tcBorders>
              <w:bottom w:val="single" w:sz="8" w:color="auto"/>
            </w:tcBorders>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10.31</w:t>
            </w:r>
          </w:p>
        </w:tc>
        <w:tc>
          <w:tcPr>
            <w:tcW w:w="3840" w:type="dxa"/>
            <w:vAlign w:val="bottom"/>
            <w:gridSpan w:val="20"/>
          </w:tcPr>
          <w:p>
            <w:pPr>
              <w:spacing w:after="0" w:line="18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Subscription Agreement dated June 11, 2019 by and</w:t>
              </w:r>
            </w:hyperlink>
          </w:p>
        </w:tc>
        <w:tc>
          <w:tcPr>
            <w:tcW w:w="1060" w:type="dxa"/>
            <w:vAlign w:val="bottom"/>
          </w:tcPr>
          <w:p>
            <w:pPr>
              <w:spacing w:after="0"/>
              <w:rPr>
                <w:sz w:val="15"/>
                <w:szCs w:val="15"/>
                <w:color w:val="auto"/>
              </w:rPr>
            </w:pPr>
          </w:p>
        </w:tc>
        <w:tc>
          <w:tcPr>
            <w:tcW w:w="1980" w:type="dxa"/>
            <w:vAlign w:val="bottom"/>
          </w:tcPr>
          <w:p>
            <w:pPr>
              <w:jc w:val="center"/>
              <w:ind w:right="133"/>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73"/>
              <w:spacing w:after="0" w:line="182" w:lineRule="exact"/>
              <w:rPr>
                <w:sz w:val="20"/>
                <w:szCs w:val="20"/>
                <w:color w:val="auto"/>
              </w:rPr>
            </w:pPr>
            <w:r>
              <w:rPr>
                <w:rFonts w:ascii="Times New Roman" w:cs="Times New Roman" w:eastAsia="Times New Roman" w:hAnsi="Times New Roman"/>
                <w:sz w:val="18"/>
                <w:szCs w:val="18"/>
                <w:color w:val="auto"/>
                <w:w w:val="99"/>
              </w:rPr>
              <w:t>06/12/2019</w:t>
            </w:r>
          </w:p>
        </w:tc>
        <w:tc>
          <w:tcPr>
            <w:tcW w:w="1400" w:type="dxa"/>
            <w:vAlign w:val="bottom"/>
          </w:tcPr>
          <w:p>
            <w:pPr>
              <w:jc w:val="center"/>
              <w:ind w:left="55"/>
              <w:spacing w:after="0" w:line="182" w:lineRule="exact"/>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between the Company and Ginkgo Bioworks, Inc.</w:t>
              </w:r>
            </w:hyperlink>
          </w:p>
        </w:tc>
        <w:tc>
          <w:tcPr>
            <w:tcW w:w="1060" w:type="dxa"/>
            <w:vAlign w:val="bottom"/>
          </w:tcPr>
          <w:p>
            <w:pPr>
              <w:spacing w:after="0"/>
              <w:rPr>
                <w:sz w:val="17"/>
                <w:szCs w:val="17"/>
                <w:color w:val="auto"/>
              </w:rPr>
            </w:pPr>
          </w:p>
        </w:tc>
        <w:tc>
          <w:tcPr>
            <w:tcW w:w="198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3840" w:type="dxa"/>
            <w:vAlign w:val="bottom"/>
            <w:gridSpan w:val="20"/>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Foundry Terms of Service Agreement dated June 11,</w:t>
              </w:r>
            </w:hyperlink>
          </w:p>
        </w:tc>
        <w:tc>
          <w:tcPr>
            <w:tcW w:w="106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10-Q</w:t>
            </w:r>
          </w:p>
        </w:tc>
        <w:tc>
          <w:tcPr>
            <w:tcW w:w="17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08/08/2019</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2019 by and between Synlogic Operating Company</w:t>
              </w:r>
            </w:hyperlink>
          </w:p>
        </w:tc>
        <w:tc>
          <w:tcPr>
            <w:tcW w:w="1060" w:type="dxa"/>
            <w:vAlign w:val="bottom"/>
          </w:tcPr>
          <w:p>
            <w:pPr>
              <w:spacing w:after="0"/>
              <w:rPr>
                <w:sz w:val="17"/>
                <w:szCs w:val="17"/>
                <w:color w:val="auto"/>
              </w:rPr>
            </w:pPr>
          </w:p>
        </w:tc>
        <w:tc>
          <w:tcPr>
            <w:tcW w:w="198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8"/>
              </w:rPr>
              <w:t>(Exhibit 10.2)</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 and Ginkgo Bioworks, Inc.</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3840" w:type="dxa"/>
            <w:vAlign w:val="bottom"/>
            <w:gridSpan w:val="20"/>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Synlogic, Inc. 2015 Employee Stock Purchase Plan,</w:t>
              </w:r>
            </w:hyperlink>
          </w:p>
        </w:tc>
        <w:tc>
          <w:tcPr>
            <w:tcW w:w="106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12/20/2019</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as amended</w:t>
              </w:r>
            </w:hyperlink>
          </w:p>
        </w:tc>
        <w:tc>
          <w:tcPr>
            <w:tcW w:w="1060" w:type="dxa"/>
            <w:vAlign w:val="bottom"/>
          </w:tcPr>
          <w:p>
            <w:pPr>
              <w:spacing w:after="0"/>
              <w:rPr>
                <w:sz w:val="17"/>
                <w:szCs w:val="17"/>
                <w:color w:val="auto"/>
              </w:rPr>
            </w:pPr>
          </w:p>
        </w:tc>
        <w:tc>
          <w:tcPr>
            <w:tcW w:w="198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r>
              <w:rPr>
                <w:rFonts w:ascii="Times New Roman" w:cs="Times New Roman" w:eastAsia="Times New Roman" w:hAnsi="Times New Roman"/>
                <w:sz w:val="16"/>
                <w:szCs w:val="16"/>
                <w:color w:val="auto"/>
              </w:rPr>
              <w:t>†</w:t>
            </w:r>
          </w:p>
        </w:tc>
        <w:tc>
          <w:tcPr>
            <w:tcW w:w="3840" w:type="dxa"/>
            <w:vAlign w:val="bottom"/>
            <w:gridSpan w:val="20"/>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License and Services Agreement and Statement of</w:t>
              </w:r>
            </w:hyperlink>
          </w:p>
        </w:tc>
        <w:tc>
          <w:tcPr>
            <w:tcW w:w="106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10-Q</w:t>
            </w:r>
          </w:p>
        </w:tc>
        <w:tc>
          <w:tcPr>
            <w:tcW w:w="17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08/12/2021</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w w:val="97"/>
              </w:rPr>
            </w:pPr>
            <w:hyperlink r:id="rId183">
              <w:r>
                <w:rPr>
                  <w:rFonts w:ascii="Times New Roman" w:cs="Times New Roman" w:eastAsia="Times New Roman" w:hAnsi="Times New Roman"/>
                  <w:sz w:val="18"/>
                  <w:szCs w:val="18"/>
                  <w:color w:val="0000FF"/>
                  <w:w w:val="97"/>
                </w:rPr>
                <w:t>Work, dated April 28, 2021, by and between Synlogic</w:t>
              </w:r>
            </w:hyperlink>
          </w:p>
        </w:tc>
        <w:tc>
          <w:tcPr>
            <w:tcW w:w="1060" w:type="dxa"/>
            <w:vAlign w:val="bottom"/>
          </w:tcPr>
          <w:p>
            <w:pPr>
              <w:spacing w:after="0"/>
              <w:rPr>
                <w:sz w:val="17"/>
                <w:szCs w:val="17"/>
                <w:color w:val="auto"/>
              </w:rPr>
            </w:pPr>
          </w:p>
        </w:tc>
        <w:tc>
          <w:tcPr>
            <w:tcW w:w="198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Operating Company, Inc. and Azzur Cleanrooms-On-</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Demand – Boston, LLC.</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r>
              <w:rPr>
                <w:rFonts w:ascii="Times New Roman" w:cs="Times New Roman" w:eastAsia="Times New Roman" w:hAnsi="Times New Roman"/>
                <w:sz w:val="16"/>
                <w:szCs w:val="16"/>
                <w:color w:val="auto"/>
              </w:rPr>
              <w:t>†</w:t>
            </w:r>
          </w:p>
        </w:tc>
        <w:tc>
          <w:tcPr>
            <w:tcW w:w="3840" w:type="dxa"/>
            <w:vAlign w:val="bottom"/>
            <w:gridSpan w:val="20"/>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Pilot Collaboration and Option Agreement, dated</w:t>
              </w:r>
            </w:hyperlink>
          </w:p>
        </w:tc>
        <w:tc>
          <w:tcPr>
            <w:tcW w:w="106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10-Q</w:t>
            </w:r>
          </w:p>
        </w:tc>
        <w:tc>
          <w:tcPr>
            <w:tcW w:w="17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08/12/2021</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June 16, 2021, among Synlogic Operating Company,</w:t>
              </w:r>
            </w:hyperlink>
          </w:p>
        </w:tc>
        <w:tc>
          <w:tcPr>
            <w:tcW w:w="1060" w:type="dxa"/>
            <w:vAlign w:val="bottom"/>
          </w:tcPr>
          <w:p>
            <w:pPr>
              <w:spacing w:after="0"/>
              <w:rPr>
                <w:sz w:val="17"/>
                <w:szCs w:val="17"/>
                <w:color w:val="auto"/>
              </w:rPr>
            </w:pPr>
          </w:p>
        </w:tc>
        <w:tc>
          <w:tcPr>
            <w:tcW w:w="198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8"/>
              </w:rPr>
              <w:t>(Exhibit 10.2)</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 and Hoffman-La Roche Inc.</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3840" w:type="dxa"/>
            <w:vAlign w:val="bottom"/>
            <w:gridSpan w:val="20"/>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Amendment to Pilot Collaboration and Option</w:t>
              </w:r>
            </w:hyperlink>
          </w:p>
        </w:tc>
        <w:tc>
          <w:tcPr>
            <w:tcW w:w="106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10-Q</w:t>
            </w:r>
          </w:p>
        </w:tc>
        <w:tc>
          <w:tcPr>
            <w:tcW w:w="17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11/09/2023</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Agreement, dated as of August 16, 2023, among</w:t>
              </w:r>
            </w:hyperlink>
          </w:p>
        </w:tc>
        <w:tc>
          <w:tcPr>
            <w:tcW w:w="1060" w:type="dxa"/>
            <w:vAlign w:val="bottom"/>
          </w:tcPr>
          <w:p>
            <w:pPr>
              <w:spacing w:after="0"/>
              <w:rPr>
                <w:sz w:val="17"/>
                <w:szCs w:val="17"/>
                <w:color w:val="auto"/>
              </w:rPr>
            </w:pPr>
          </w:p>
        </w:tc>
        <w:tc>
          <w:tcPr>
            <w:tcW w:w="198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Synlogic Operating Company, Inc. and Hoffman-La</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Roche Inc.</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3840" w:type="dxa"/>
            <w:vAlign w:val="bottom"/>
            <w:gridSpan w:val="20"/>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Statement of Work dated January 21, 2022 pursuant</w:t>
              </w:r>
            </w:hyperlink>
          </w:p>
        </w:tc>
        <w:tc>
          <w:tcPr>
            <w:tcW w:w="106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10-K</w:t>
            </w:r>
          </w:p>
        </w:tc>
        <w:tc>
          <w:tcPr>
            <w:tcW w:w="17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03/17/2022</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to Master Contract Services Agreement between</w:t>
              </w:r>
            </w:hyperlink>
          </w:p>
        </w:tc>
        <w:tc>
          <w:tcPr>
            <w:tcW w:w="1060" w:type="dxa"/>
            <w:vAlign w:val="bottom"/>
          </w:tcPr>
          <w:p>
            <w:pPr>
              <w:spacing w:after="0"/>
              <w:rPr>
                <w:sz w:val="17"/>
                <w:szCs w:val="17"/>
                <w:color w:val="auto"/>
              </w:rPr>
            </w:pPr>
          </w:p>
        </w:tc>
        <w:tc>
          <w:tcPr>
            <w:tcW w:w="1980" w:type="dxa"/>
            <w:vAlign w:val="bottom"/>
          </w:tcPr>
          <w:p>
            <w:pPr>
              <w:jc w:val="center"/>
              <w:ind w:right="113"/>
              <w:spacing w:after="0" w:line="196" w:lineRule="exact"/>
              <w:rPr>
                <w:sz w:val="20"/>
                <w:szCs w:val="20"/>
                <w:color w:val="auto"/>
              </w:rPr>
            </w:pPr>
            <w:r>
              <w:rPr>
                <w:rFonts w:ascii="Times New Roman" w:cs="Times New Roman" w:eastAsia="Times New Roman" w:hAnsi="Times New Roman"/>
                <w:sz w:val="18"/>
                <w:szCs w:val="18"/>
                <w:color w:val="auto"/>
                <w:w w:val="99"/>
              </w:rPr>
              <w:t>(Exhibit 10.30)</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Synlogic, Inc. and Azzur Group (d/b/a Azzur of New</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England LLC), SOW P-10558-01</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3840" w:type="dxa"/>
            <w:vAlign w:val="bottom"/>
            <w:gridSpan w:val="20"/>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Statement of Work dated January 21, 2022 pursuant</w:t>
              </w:r>
            </w:hyperlink>
          </w:p>
        </w:tc>
        <w:tc>
          <w:tcPr>
            <w:tcW w:w="106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10-K</w:t>
            </w:r>
          </w:p>
        </w:tc>
        <w:tc>
          <w:tcPr>
            <w:tcW w:w="17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03/17/2022</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to Master Contract Services Agreement between</w:t>
              </w:r>
            </w:hyperlink>
          </w:p>
        </w:tc>
        <w:tc>
          <w:tcPr>
            <w:tcW w:w="1060" w:type="dxa"/>
            <w:vAlign w:val="bottom"/>
          </w:tcPr>
          <w:p>
            <w:pPr>
              <w:spacing w:after="0"/>
              <w:rPr>
                <w:sz w:val="17"/>
                <w:szCs w:val="17"/>
                <w:color w:val="auto"/>
              </w:rPr>
            </w:pPr>
          </w:p>
        </w:tc>
        <w:tc>
          <w:tcPr>
            <w:tcW w:w="1980" w:type="dxa"/>
            <w:vAlign w:val="bottom"/>
          </w:tcPr>
          <w:p>
            <w:pPr>
              <w:jc w:val="center"/>
              <w:ind w:right="113"/>
              <w:spacing w:after="0" w:line="196" w:lineRule="exact"/>
              <w:rPr>
                <w:sz w:val="20"/>
                <w:szCs w:val="20"/>
                <w:color w:val="auto"/>
              </w:rPr>
            </w:pPr>
            <w:r>
              <w:rPr>
                <w:rFonts w:ascii="Times New Roman" w:cs="Times New Roman" w:eastAsia="Times New Roman" w:hAnsi="Times New Roman"/>
                <w:sz w:val="18"/>
                <w:szCs w:val="18"/>
                <w:color w:val="auto"/>
                <w:w w:val="99"/>
              </w:rPr>
              <w:t>(Exhibit 10.31)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Synlogic, Inc. and Azzur Group (d/b/a Azzur of New</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England LLC), SOW P-10558-2</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3840" w:type="dxa"/>
            <w:vAlign w:val="bottom"/>
            <w:gridSpan w:val="20"/>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Statement of Work dated November 22, 2022</w:t>
              </w:r>
            </w:hyperlink>
          </w:p>
        </w:tc>
        <w:tc>
          <w:tcPr>
            <w:tcW w:w="106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7"/>
              </w:rPr>
              <w:t>10-K</w:t>
            </w:r>
          </w:p>
        </w:tc>
        <w:tc>
          <w:tcPr>
            <w:tcW w:w="17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03/29/2023</w:t>
            </w:r>
          </w:p>
        </w:tc>
        <w:tc>
          <w:tcPr>
            <w:tcW w:w="14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pursuant to Master Contract Services Agreement</w:t>
              </w:r>
            </w:hyperlink>
          </w:p>
        </w:tc>
        <w:tc>
          <w:tcPr>
            <w:tcW w:w="1060" w:type="dxa"/>
            <w:vAlign w:val="bottom"/>
          </w:tcPr>
          <w:p>
            <w:pPr>
              <w:spacing w:after="0"/>
              <w:rPr>
                <w:sz w:val="17"/>
                <w:szCs w:val="17"/>
                <w:color w:val="auto"/>
              </w:rPr>
            </w:pPr>
          </w:p>
        </w:tc>
        <w:tc>
          <w:tcPr>
            <w:tcW w:w="1980" w:type="dxa"/>
            <w:vAlign w:val="bottom"/>
          </w:tcPr>
          <w:p>
            <w:pPr>
              <w:jc w:val="center"/>
              <w:ind w:right="113"/>
              <w:spacing w:after="0" w:line="196" w:lineRule="exact"/>
              <w:rPr>
                <w:sz w:val="20"/>
                <w:szCs w:val="20"/>
                <w:color w:val="auto"/>
              </w:rPr>
            </w:pPr>
            <w:r>
              <w:rPr>
                <w:rFonts w:ascii="Times New Roman" w:cs="Times New Roman" w:eastAsia="Times New Roman" w:hAnsi="Times New Roman"/>
                <w:sz w:val="18"/>
                <w:szCs w:val="18"/>
                <w:color w:val="auto"/>
                <w:w w:val="99"/>
              </w:rPr>
              <w:t>(Exhibit 10.32)</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w w:val="97"/>
              </w:rPr>
            </w:pPr>
            <w:hyperlink r:id="rId188">
              <w:r>
                <w:rPr>
                  <w:rFonts w:ascii="Times New Roman" w:cs="Times New Roman" w:eastAsia="Times New Roman" w:hAnsi="Times New Roman"/>
                  <w:sz w:val="18"/>
                  <w:szCs w:val="18"/>
                  <w:color w:val="0000FF"/>
                  <w:w w:val="97"/>
                </w:rPr>
                <w:t>between Synlogic, Inc. and Azzur Group (d/b/a Azzur</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of New England LLC), SOW P-10558-01 Extension</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3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Addendum to Statement of Work dated December 8,</w:t>
            </w: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91"/>
              </w:rPr>
              <w:t>X</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2023 pursuant to Master Contract Services</w:t>
            </w:r>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Agreement between Synlogic, Inc. and Azzur Group</w:t>
            </w:r>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(d/b/a Azzur of New England LLC), SOW P-10558-</w:t>
            </w:r>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01 Addendum</w:t>
            </w:r>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3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91"/>
              </w:rPr>
              <w:t>X</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w:t>
            </w: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91"/>
              </w:rPr>
              <w:t>X</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Power of Attorney (included in the signature page</w:t>
            </w: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91"/>
              </w:rPr>
              <w:t>X</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hereto)</w:t>
            </w:r>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required by</w:t>
            </w: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91"/>
              </w:rPr>
              <w:t>X</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40" w:type="dxa"/>
            <w:vAlign w:val="bottom"/>
            <w:gridSpan w:val="10"/>
            <w:shd w:val="clear" w:color="auto" w:fill="0000FF"/>
          </w:tcPr>
          <w:p>
            <w:pPr>
              <w:spacing w:after="0" w:line="20" w:lineRule="exact"/>
              <w:rPr>
                <w:sz w:val="1"/>
                <w:szCs w:val="1"/>
                <w:color w:val="auto"/>
              </w:rPr>
            </w:pPr>
          </w:p>
        </w:tc>
        <w:tc>
          <w:tcPr>
            <w:tcW w:w="132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Rule 13a-14(a) or Rule 15d-14(a).</w:t>
            </w:r>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1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96</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06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620" w:type="dxa"/>
            <w:vAlign w:val="bottom"/>
          </w:tcPr>
          <w:p>
            <w:pPr>
              <w:spacing w:after="0"/>
              <w:rPr>
                <w:sz w:val="13"/>
                <w:szCs w:val="13"/>
                <w:color w:val="auto"/>
              </w:rPr>
            </w:pPr>
          </w:p>
        </w:tc>
        <w:tc>
          <w:tcPr>
            <w:tcW w:w="146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6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6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3940" w:type="dxa"/>
            <w:vAlign w:val="bottom"/>
            <w:gridSpan w:val="6"/>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206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620" w:type="dxa"/>
            <w:vAlign w:val="bottom"/>
            <w:vMerge w:val="continue"/>
          </w:tcPr>
          <w:p>
            <w:pPr>
              <w:spacing w:after="0"/>
              <w:rPr>
                <w:sz w:val="12"/>
                <w:szCs w:val="12"/>
                <w:color w:val="auto"/>
              </w:rPr>
            </w:pPr>
          </w:p>
        </w:tc>
        <w:tc>
          <w:tcPr>
            <w:tcW w:w="14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940" w:type="dxa"/>
            <w:vAlign w:val="bottom"/>
            <w:tcBorders>
              <w:bottom w:val="single" w:sz="8" w:color="auto"/>
            </w:tcBorders>
            <w:gridSpan w:val="6"/>
            <w:vMerge w:val="continue"/>
          </w:tcPr>
          <w:p>
            <w:pPr>
              <w:spacing w:after="0"/>
              <w:rPr>
                <w:sz w:val="16"/>
                <w:szCs w:val="16"/>
                <w:color w:val="auto"/>
              </w:rPr>
            </w:pPr>
          </w:p>
        </w:tc>
        <w:tc>
          <w:tcPr>
            <w:tcW w:w="9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206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6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6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31.2</w:t>
            </w:r>
          </w:p>
        </w:tc>
        <w:tc>
          <w:tcPr>
            <w:tcW w:w="394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Financial Officer required by</w:t>
            </w:r>
          </w:p>
        </w:tc>
        <w:tc>
          <w:tcPr>
            <w:tcW w:w="980" w:type="dxa"/>
            <w:vAlign w:val="bottom"/>
          </w:tcPr>
          <w:p>
            <w:pPr>
              <w:jc w:val="center"/>
              <w:ind w:right="176"/>
              <w:spacing w:after="0" w:line="182" w:lineRule="exact"/>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Rule 13a-14(a) or Rule 15d-14(a).</w:t>
            </w:r>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required by Rule 13a-14(b) or Rule 15d-</w:t>
            </w:r>
          </w:p>
        </w:tc>
        <w:tc>
          <w:tcPr>
            <w:tcW w:w="980" w:type="dxa"/>
            <w:vAlign w:val="bottom"/>
          </w:tcPr>
          <w:p>
            <w:pPr>
              <w:jc w:val="center"/>
              <w:ind w:right="176"/>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w:t>
            </w:r>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the United States Code (18 U.S.C. §1350).</w:t>
            </w:r>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required by Rule 13a-14(b) or Rule 15d-</w:t>
            </w:r>
          </w:p>
        </w:tc>
        <w:tc>
          <w:tcPr>
            <w:tcW w:w="980" w:type="dxa"/>
            <w:vAlign w:val="bottom"/>
          </w:tcPr>
          <w:p>
            <w:pPr>
              <w:jc w:val="center"/>
              <w:ind w:right="176"/>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w:t>
            </w:r>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the United States Code (18 U.S.C. §1350).</w:t>
            </w:r>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 the instance</w:t>
            </w:r>
          </w:p>
        </w:tc>
        <w:tc>
          <w:tcPr>
            <w:tcW w:w="980" w:type="dxa"/>
            <w:vAlign w:val="bottom"/>
          </w:tcPr>
          <w:p>
            <w:pPr>
              <w:jc w:val="center"/>
              <w:ind w:right="176"/>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w:t>
            </w:r>
          </w:p>
        </w:tc>
        <w:tc>
          <w:tcPr>
            <w:tcW w:w="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980" w:type="dxa"/>
            <w:vAlign w:val="bottom"/>
          </w:tcPr>
          <w:p>
            <w:pPr>
              <w:jc w:val="center"/>
              <w:ind w:right="176"/>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9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w:t>
            </w:r>
          </w:p>
        </w:tc>
        <w:tc>
          <w:tcPr>
            <w:tcW w:w="980" w:type="dxa"/>
            <w:vAlign w:val="bottom"/>
          </w:tcPr>
          <w:p>
            <w:pPr>
              <w:jc w:val="center"/>
              <w:ind w:right="176"/>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39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9512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0" w:lineRule="exact"/>
        <w:rPr>
          <w:sz w:val="20"/>
          <w:szCs w:val="20"/>
          <w:color w:val="auto"/>
        </w:rPr>
      </w:pPr>
    </w:p>
    <w:p>
      <w:pPr>
        <w:ind w:firstLine="8"/>
        <w:spacing w:after="0" w:line="261" w:lineRule="auto"/>
        <w:tabs>
          <w:tab w:leader="none" w:pos="12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exhibit have been omitted pursuant to Item 601(b)(2) of Regulation S-K. A copy of any omitted schedule and/or exhibit will be furnished to the SEC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plans or arrangements.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in accordance with the rules of the Securities and Exchange Commission.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406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Synlogic, Inc.</w:t>
            </w:r>
          </w:p>
        </w:tc>
        <w:tc>
          <w:tcPr>
            <w:tcW w:w="4080" w:type="dxa"/>
            <w:vAlign w:val="bottom"/>
          </w:tcPr>
          <w:p>
            <w:pPr>
              <w:spacing w:after="0"/>
              <w:rPr>
                <w:sz w:val="20"/>
                <w:szCs w:val="20"/>
                <w:color w:val="auto"/>
              </w:rPr>
            </w:pPr>
          </w:p>
        </w:tc>
      </w:tr>
      <w:tr>
        <w:trPr>
          <w:trHeight w:val="47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2024</w:t>
            </w:r>
          </w:p>
        </w:tc>
        <w:tc>
          <w:tcPr>
            <w:tcW w:w="406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7"/>
              </w:rPr>
              <w:t>/s/ ANTOINE AWAD</w:t>
            </w:r>
          </w:p>
        </w:tc>
      </w:tr>
      <w:tr>
        <w:trPr>
          <w:trHeight w:val="205"/>
        </w:trPr>
        <w:tc>
          <w:tcPr>
            <w:tcW w:w="30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tcPr>
          <w:p>
            <w:pPr>
              <w:jc w:val="center"/>
              <w:ind w:right="1030"/>
              <w:spacing w:after="0" w:line="205" w:lineRule="exact"/>
              <w:rPr>
                <w:sz w:val="20"/>
                <w:szCs w:val="20"/>
                <w:color w:val="auto"/>
              </w:rPr>
            </w:pPr>
            <w:r>
              <w:rPr>
                <w:rFonts w:ascii="Times New Roman" w:cs="Times New Roman" w:eastAsia="Times New Roman" w:hAnsi="Times New Roman"/>
                <w:sz w:val="18"/>
                <w:szCs w:val="18"/>
                <w:color w:val="auto"/>
                <w:w w:val="98"/>
              </w:rPr>
              <w:t>Antoine Awad</w:t>
            </w:r>
          </w:p>
        </w:tc>
      </w:tr>
      <w:tr>
        <w:trPr>
          <w:trHeight w:val="216"/>
        </w:trPr>
        <w:tc>
          <w:tcPr>
            <w:tcW w:w="30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30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6"/>
        </w:trPr>
        <w:tc>
          <w:tcPr>
            <w:tcW w:w="3080" w:type="dxa"/>
            <w:vAlign w:val="bottom"/>
          </w:tcPr>
          <w:p>
            <w:pPr>
              <w:spacing w:after="0"/>
              <w:rPr>
                <w:sz w:val="24"/>
                <w:szCs w:val="24"/>
                <w:color w:val="auto"/>
              </w:rPr>
            </w:pPr>
          </w:p>
        </w:tc>
        <w:tc>
          <w:tcPr>
            <w:tcW w:w="406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4080" w:type="dxa"/>
            <w:vAlign w:val="bottom"/>
          </w:tcPr>
          <w:p>
            <w:pPr>
              <w:spacing w:after="0"/>
              <w:rPr>
                <w:sz w:val="24"/>
                <w:szCs w:val="24"/>
                <w:color w:val="auto"/>
              </w:rPr>
            </w:pPr>
          </w:p>
        </w:tc>
      </w:tr>
    </w:tbl>
    <w:p>
      <w:pPr>
        <w:spacing w:after="0" w:line="23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Antoine Awad and Mary Beth Dooley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or her substitutes or substitute, may lawfully do or cause to be done by virtue hereof.</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 opposite his name.</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indicated below and on the dates indicated.</w:t>
      </w:r>
    </w:p>
    <w:p>
      <w:pPr>
        <w:spacing w:after="0" w:line="155"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ANTOINE AWAD</w:t>
            </w:r>
          </w:p>
        </w:tc>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30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March 19, 2024</w:t>
            </w:r>
          </w:p>
        </w:tc>
        <w:tc>
          <w:tcPr>
            <w:tcW w:w="0" w:type="dxa"/>
            <w:vAlign w:val="bottom"/>
          </w:tcPr>
          <w:p>
            <w:pPr>
              <w:spacing w:after="0"/>
              <w:rPr>
                <w:sz w:val="1"/>
                <w:szCs w:val="1"/>
                <w:color w:val="auto"/>
              </w:rPr>
            </w:pPr>
          </w:p>
        </w:tc>
      </w:tr>
      <w:tr>
        <w:trPr>
          <w:trHeight w:val="221"/>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Antoine Awad</w:t>
            </w:r>
          </w:p>
        </w:tc>
        <w:tc>
          <w:tcPr>
            <w:tcW w:w="450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BETH DOOLEY</w:t>
            </w:r>
          </w:p>
        </w:tc>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Head of Finance</w:t>
            </w:r>
          </w:p>
        </w:tc>
        <w:tc>
          <w:tcPr>
            <w:tcW w:w="30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March 19, 2024</w:t>
            </w:r>
          </w:p>
        </w:tc>
        <w:tc>
          <w:tcPr>
            <w:tcW w:w="0" w:type="dxa"/>
            <w:vAlign w:val="bottom"/>
          </w:tcPr>
          <w:p>
            <w:pPr>
              <w:spacing w:after="0"/>
              <w:rPr>
                <w:sz w:val="1"/>
                <w:szCs w:val="1"/>
                <w:color w:val="auto"/>
              </w:rPr>
            </w:pPr>
          </w:p>
        </w:tc>
      </w:tr>
      <w:tr>
        <w:trPr>
          <w:trHeight w:val="222"/>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Mary Beth Dooley</w:t>
            </w:r>
          </w:p>
        </w:tc>
        <w:tc>
          <w:tcPr>
            <w:tcW w:w="4500" w:type="dxa"/>
            <w:vAlign w:val="bottom"/>
          </w:tcPr>
          <w:p>
            <w:pPr>
              <w:ind w:left="180"/>
              <w:spacing w:after="0"/>
              <w:rPr>
                <w:sz w:val="20"/>
                <w:szCs w:val="20"/>
                <w:color w:val="auto"/>
              </w:rPr>
            </w:pPr>
            <w:r>
              <w:rPr>
                <w:rFonts w:ascii="Times New Roman" w:cs="Times New Roman" w:eastAsia="Times New Roman" w:hAnsi="Times New Roman"/>
                <w:sz w:val="15"/>
                <w:szCs w:val="15"/>
                <w:i w:val="1"/>
                <w:iCs w:val="1"/>
                <w:color w:val="auto"/>
              </w:rPr>
              <w:t>(principal financial officer and principal accounting officer)</w:t>
            </w: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BARRETT</w:t>
            </w:r>
          </w:p>
        </w:tc>
        <w:tc>
          <w:tcPr>
            <w:tcW w:w="4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Peter Barrett</w:t>
            </w:r>
          </w:p>
        </w:tc>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Chairman of the Board</w:t>
            </w:r>
          </w:p>
        </w:tc>
        <w:tc>
          <w:tcPr>
            <w:tcW w:w="30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March 19, 2024</w:t>
            </w:r>
          </w:p>
        </w:tc>
        <w:tc>
          <w:tcPr>
            <w:tcW w:w="0" w:type="dxa"/>
            <w:vAlign w:val="bottom"/>
          </w:tcPr>
          <w:p>
            <w:pPr>
              <w:spacing w:after="0"/>
              <w:rPr>
                <w:sz w:val="1"/>
                <w:szCs w:val="1"/>
                <w:color w:val="auto"/>
              </w:rPr>
            </w:pP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BURGESS</w:t>
            </w:r>
          </w:p>
        </w:tc>
        <w:tc>
          <w:tcPr>
            <w:tcW w:w="4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Michael Burgess</w:t>
            </w:r>
          </w:p>
        </w:tc>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30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March 19, 2024</w:t>
            </w:r>
          </w:p>
        </w:tc>
        <w:tc>
          <w:tcPr>
            <w:tcW w:w="0" w:type="dxa"/>
            <w:vAlign w:val="bottom"/>
          </w:tcPr>
          <w:p>
            <w:pPr>
              <w:spacing w:after="0"/>
              <w:rPr>
                <w:sz w:val="1"/>
                <w:szCs w:val="1"/>
                <w:color w:val="auto"/>
              </w:rPr>
            </w:pP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HEFFERNAN</w:t>
            </w:r>
          </w:p>
        </w:tc>
        <w:tc>
          <w:tcPr>
            <w:tcW w:w="4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Michael Heffernan</w:t>
            </w:r>
          </w:p>
        </w:tc>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30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March 19, 2024</w:t>
            </w:r>
          </w:p>
        </w:tc>
        <w:tc>
          <w:tcPr>
            <w:tcW w:w="0" w:type="dxa"/>
            <w:vAlign w:val="bottom"/>
          </w:tcPr>
          <w:p>
            <w:pPr>
              <w:spacing w:after="0"/>
              <w:rPr>
                <w:sz w:val="1"/>
                <w:szCs w:val="1"/>
                <w:color w:val="auto"/>
              </w:rPr>
            </w:pP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PATRICIA HURTER</w:t>
            </w:r>
          </w:p>
        </w:tc>
        <w:tc>
          <w:tcPr>
            <w:tcW w:w="4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Patricia Hurter</w:t>
            </w:r>
          </w:p>
        </w:tc>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30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March 19, 2024</w:t>
            </w:r>
          </w:p>
        </w:tc>
        <w:tc>
          <w:tcPr>
            <w:tcW w:w="0" w:type="dxa"/>
            <w:vAlign w:val="bottom"/>
          </w:tcPr>
          <w:p>
            <w:pPr>
              <w:spacing w:after="0"/>
              <w:rPr>
                <w:sz w:val="1"/>
                <w:szCs w:val="1"/>
                <w:color w:val="auto"/>
              </w:rPr>
            </w:pP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LISA KELLY-CROSWELL</w:t>
            </w:r>
          </w:p>
        </w:tc>
        <w:tc>
          <w:tcPr>
            <w:tcW w:w="4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Lisa Kelly-Croswell</w:t>
            </w:r>
          </w:p>
        </w:tc>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30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March 19, 2024</w:t>
            </w:r>
          </w:p>
        </w:tc>
        <w:tc>
          <w:tcPr>
            <w:tcW w:w="0" w:type="dxa"/>
            <w:vAlign w:val="bottom"/>
          </w:tcPr>
          <w:p>
            <w:pPr>
              <w:spacing w:after="0"/>
              <w:rPr>
                <w:sz w:val="1"/>
                <w:szCs w:val="1"/>
                <w:color w:val="auto"/>
              </w:rPr>
            </w:pP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NICK LESCHLY</w:t>
            </w:r>
          </w:p>
        </w:tc>
        <w:tc>
          <w:tcPr>
            <w:tcW w:w="4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Nick Leschly</w:t>
            </w:r>
          </w:p>
        </w:tc>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30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March 19, 2024</w:t>
            </w:r>
          </w:p>
        </w:tc>
        <w:tc>
          <w:tcPr>
            <w:tcW w:w="0" w:type="dxa"/>
            <w:vAlign w:val="bottom"/>
          </w:tcPr>
          <w:p>
            <w:pPr>
              <w:spacing w:after="0"/>
              <w:rPr>
                <w:sz w:val="1"/>
                <w:szCs w:val="1"/>
                <w:color w:val="auto"/>
              </w:rPr>
            </w:pP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EDWARD MATHERS</w:t>
            </w:r>
          </w:p>
        </w:tc>
        <w:tc>
          <w:tcPr>
            <w:tcW w:w="4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Edward Mathers</w:t>
            </w:r>
          </w:p>
        </w:tc>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30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March 19, 2024</w:t>
            </w:r>
          </w:p>
        </w:tc>
        <w:tc>
          <w:tcPr>
            <w:tcW w:w="0" w:type="dxa"/>
            <w:vAlign w:val="bottom"/>
          </w:tcPr>
          <w:p>
            <w:pPr>
              <w:spacing w:after="0"/>
              <w:rPr>
                <w:sz w:val="1"/>
                <w:szCs w:val="1"/>
                <w:color w:val="auto"/>
              </w:rPr>
            </w:pP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P. SHEA</w:t>
            </w:r>
          </w:p>
        </w:tc>
        <w:tc>
          <w:tcPr>
            <w:tcW w:w="4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Richard P. Shea</w:t>
            </w:r>
          </w:p>
        </w:tc>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30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March 19, 2024</w:t>
            </w:r>
          </w:p>
        </w:tc>
        <w:tc>
          <w:tcPr>
            <w:tcW w:w="0" w:type="dxa"/>
            <w:vAlign w:val="bottom"/>
          </w:tcPr>
          <w:p>
            <w:pPr>
              <w:spacing w:after="0"/>
              <w:rPr>
                <w:sz w:val="1"/>
                <w:szCs w:val="1"/>
                <w:color w:val="auto"/>
              </w:rPr>
            </w:pPr>
          </w:p>
        </w:tc>
      </w:tr>
      <w:tr>
        <w:trPr>
          <w:trHeight w:val="732"/>
        </w:trPr>
        <w:tc>
          <w:tcPr>
            <w:tcW w:w="3720" w:type="dxa"/>
            <w:vAlign w:val="bottom"/>
          </w:tcPr>
          <w:p>
            <w:pPr>
              <w:spacing w:after="0"/>
              <w:rPr>
                <w:sz w:val="24"/>
                <w:szCs w:val="24"/>
                <w:color w:val="auto"/>
              </w:rPr>
            </w:pPr>
          </w:p>
        </w:tc>
        <w:tc>
          <w:tcPr>
            <w:tcW w:w="45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98</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of Synlogic, Inc.</w:t>
            </w:r>
          </w:p>
        </w:tc>
        <w:tc>
          <w:tcPr>
            <w:tcW w:w="1780" w:type="dxa"/>
            <w:vAlign w:val="bottom"/>
          </w:tcPr>
          <w:p>
            <w:pPr>
              <w:spacing w:after="0"/>
              <w:rPr>
                <w:sz w:val="20"/>
                <w:szCs w:val="20"/>
                <w:color w:val="auto"/>
              </w:rPr>
            </w:pPr>
          </w:p>
        </w:tc>
      </w:tr>
      <w:tr>
        <w:trPr>
          <w:trHeight w:val="392"/>
        </w:trPr>
        <w:tc>
          <w:tcPr>
            <w:tcW w:w="7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(KPMG LLP, Boston, MA, Auditor Firm ID: 185)</w:t>
            </w:r>
          </w:p>
        </w:tc>
        <w:tc>
          <w:tcPr>
            <w:tcW w:w="1560" w:type="dxa"/>
            <w:vAlign w:val="bottom"/>
          </w:tcPr>
          <w:p>
            <w:pPr>
              <w:spacing w:after="0"/>
              <w:rPr>
                <w:sz w:val="24"/>
                <w:szCs w:val="24"/>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9"/>
        </w:trPr>
        <w:tc>
          <w:tcPr>
            <w:tcW w:w="94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09"/>
        </w:trPr>
        <w:tc>
          <w:tcPr>
            <w:tcW w:w="474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4720" w:type="dxa"/>
            <w:vAlign w:val="bottom"/>
            <w:gridSpan w:val="2"/>
          </w:tcPr>
          <w:p>
            <w:pPr>
              <w:spacing w:after="0"/>
              <w:rPr>
                <w:sz w:val="18"/>
                <w:szCs w:val="18"/>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F-5</w:t>
            </w:r>
          </w:p>
        </w:tc>
      </w:tr>
      <w:tr>
        <w:trPr>
          <w:trHeight w:val="210"/>
        </w:trPr>
        <w:tc>
          <w:tcPr>
            <w:tcW w:w="362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840" w:type="dxa"/>
            <w:vAlign w:val="bottom"/>
            <w:gridSpan w:val="3"/>
          </w:tcPr>
          <w:p>
            <w:pPr>
              <w:spacing w:after="0"/>
              <w:rPr>
                <w:sz w:val="18"/>
                <w:szCs w:val="18"/>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9"/>
        </w:trPr>
        <w:tc>
          <w:tcPr>
            <w:tcW w:w="29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0" w:type="dxa"/>
            <w:vAlign w:val="bottom"/>
            <w:tcBorders>
              <w:bottom w:val="single" w:sz="8" w:color="0000EE"/>
            </w:tcBorders>
          </w:tcPr>
          <w:p>
            <w:pPr>
              <w:spacing w:after="0"/>
              <w:rPr>
                <w:sz w:val="18"/>
                <w:szCs w:val="18"/>
                <w:color w:val="auto"/>
              </w:rPr>
            </w:pPr>
          </w:p>
        </w:tc>
        <w:tc>
          <w:tcPr>
            <w:tcW w:w="6520" w:type="dxa"/>
            <w:vAlign w:val="bottom"/>
            <w:gridSpan w:val="5"/>
          </w:tcPr>
          <w:p>
            <w:pPr>
              <w:spacing w:after="0"/>
              <w:rPr>
                <w:sz w:val="18"/>
                <w:szCs w:val="18"/>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F-7</w:t>
            </w:r>
          </w:p>
        </w:tc>
      </w:tr>
      <w:tr>
        <w:trPr>
          <w:trHeight w:val="210"/>
        </w:trPr>
        <w:tc>
          <w:tcPr>
            <w:tcW w:w="94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F-8</w:t>
            </w:r>
          </w:p>
        </w:tc>
      </w:tr>
      <w:tr>
        <w:trPr>
          <w:trHeight w:val="1013"/>
        </w:trPr>
        <w:tc>
          <w:tcPr>
            <w:tcW w:w="216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Synlogic, Inc.: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Synlogic, Inc. and subsidiaries (the Company) as of December 31, 2023 and 2022, the related consolidated statements of operations and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U.S. generally accepted accounting principles.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Accounting for warrants issued in underwritten public offering</w:t>
      </w:r>
    </w:p>
    <w:p>
      <w:pPr>
        <w:spacing w:after="0" w:line="227" w:lineRule="exact"/>
        <w:rPr>
          <w:sz w:val="20"/>
          <w:szCs w:val="20"/>
          <w:color w:val="auto"/>
        </w:rPr>
      </w:pPr>
    </w:p>
    <w:p>
      <w:pPr>
        <w:ind w:left="860" w:right="40"/>
        <w:spacing w:after="0" w:line="261" w:lineRule="auto"/>
        <w:rPr>
          <w:sz w:val="20"/>
          <w:szCs w:val="20"/>
          <w:color w:val="auto"/>
        </w:rPr>
      </w:pPr>
      <w:r>
        <w:rPr>
          <w:rFonts w:ascii="Times New Roman" w:cs="Times New Roman" w:eastAsia="Times New Roman" w:hAnsi="Times New Roman"/>
          <w:sz w:val="18"/>
          <w:szCs w:val="18"/>
          <w:color w:val="auto"/>
        </w:rPr>
        <w:t>As discussed in Note 8 to the consolidated financial statements, in October 2023 the Company issued and sold, an underwritten public offering, common stock, pre-funded warrants, and common stock warrants to purchase its common stock (purchase warrants). The pre-funded warrants met the criteria for equity classification. The purchase warrants met the definition of a derivative instrument. Upon issuance, the purchase warrants were recorded as a liability at fair value in the amount of $7.1 million.</w:t>
      </w:r>
    </w:p>
    <w:p>
      <w:pPr>
        <w:spacing w:after="0" w:line="180" w:lineRule="exact"/>
        <w:rPr>
          <w:sz w:val="20"/>
          <w:szCs w:val="20"/>
          <w:color w:val="auto"/>
        </w:rPr>
      </w:pPr>
    </w:p>
    <w:p>
      <w:pPr>
        <w:ind w:left="860" w:right="80"/>
        <w:spacing w:after="0" w:line="258" w:lineRule="auto"/>
        <w:rPr>
          <w:sz w:val="20"/>
          <w:szCs w:val="20"/>
          <w:color w:val="auto"/>
        </w:rPr>
      </w:pPr>
      <w:r>
        <w:rPr>
          <w:rFonts w:ascii="Times New Roman" w:cs="Times New Roman" w:eastAsia="Times New Roman" w:hAnsi="Times New Roman"/>
          <w:sz w:val="18"/>
          <w:szCs w:val="18"/>
          <w:color w:val="auto"/>
        </w:rPr>
        <w:t>We identified the evaluation of the Company’s accounting for the purchase warrants and pre-funded warrants, specifically the classification as liabilities or equity, as a critical audit matter. A high degree of challenging and complex auditor judgment was required in evaluating the classification of the purchase warrants and pre-funded warrants due to interpretation of complex provisions included within the respective warrant agreements in order to apply the appropriate accounting guidance. Additionally, evaluating the Company's accounting for the purchase warrants and pre-funded warrants required specialized skills and knowledge.</w:t>
      </w:r>
    </w:p>
    <w:p>
      <w:pPr>
        <w:spacing w:after="0" w:line="183" w:lineRule="exact"/>
        <w:rPr>
          <w:sz w:val="20"/>
          <w:szCs w:val="20"/>
          <w:color w:val="auto"/>
        </w:rPr>
      </w:pPr>
    </w:p>
    <w:p>
      <w:pPr>
        <w:ind w:left="860" w:right="16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obtained and inspected the purchase warrants and pre-funded warrants agreements to identify key terms and conditions within the agreements that were relevant to the classification determination. We involved professionals with specialized skills and knowledge who assisted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2" w:name="page103"/>
    <w:bookmarkEnd w:id="102"/>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whether the Company's technical accounting analyses considered all key terms and conditions of the agreements that were relevant to the classification determination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interpretation and application of the relevant accounting literature, including consideration of whether certain actions were within the Company’s control, to support the liability classification of the purchase warrants and the equity classification of the pre-funded warrants on the consolidated balance sheet.</w:t>
      </w:r>
    </w:p>
    <w:p>
      <w:pPr>
        <w:spacing w:after="0" w:line="17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110,865</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warrant liability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 net of current portion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3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250,000,000 shares authorized as of December 31, 2023 and December 31, 2022;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9,465,949 shares issued and 9,186,157 shares outstanding as of December 31, 2023 and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4,728,874 shares issued and 4,449,082 outstanding as of December 31, 2022</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459,458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442,303</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(161 )</w:t>
            </w: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(414,301 )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(357,019 )</w:t>
            </w: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 (279,792 shares at December 31, 2023 and at December 31, 2022)</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(2,518 )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(2,518 )</w:t>
            </w:r>
          </w:p>
        </w:tc>
      </w:tr>
      <w:tr>
        <w:trPr>
          <w:trHeight w:val="236"/>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82,610</w:t>
            </w:r>
          </w:p>
        </w:tc>
        <w:tc>
          <w:tcPr>
            <w:tcW w:w="100" w:type="dxa"/>
            <w:vAlign w:val="bottom"/>
            <w:tcBorders>
              <w:top w:val="single" w:sz="8" w:color="CFF0FC"/>
            </w:tcBorders>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-5022850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-5022850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-4088130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-2502535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-1868170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00" w:type="dxa"/>
            <w:vAlign w:val="bottom"/>
          </w:tcPr>
          <w:p>
            <w:pPr>
              <w:spacing w:after="0"/>
              <w:rPr>
                <w:sz w:val="20"/>
                <w:szCs w:val="20"/>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58,532</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(55,161 )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(67,419 )</w:t>
            </w: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purchase warrant liability</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(4,058 )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(517 )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(2,107 )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(57,268 )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(66,147 )</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(57,282 )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(66,147 )</w:t>
            </w:r>
          </w:p>
        </w:tc>
      </w:tr>
      <w:tr>
        <w:trPr>
          <w:trHeight w:val="228"/>
        </w:trPr>
        <w:tc>
          <w:tcPr>
            <w:tcW w:w="770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7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(13.83 )</w:t>
            </w:r>
          </w:p>
        </w:tc>
      </w:tr>
      <w:tr>
        <w:trPr>
          <w:trHeight w:val="223"/>
        </w:trPr>
        <w:tc>
          <w:tcPr>
            <w:tcW w:w="7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6,502,279</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4,781,696</w:t>
            </w:r>
          </w:p>
        </w:tc>
        <w:tc>
          <w:tcPr>
            <w:tcW w:w="100" w:type="dxa"/>
            <w:vAlign w:val="bottom"/>
            <w:tcBorders>
              <w:top w:val="single" w:sz="8" w:color="CFF0FC"/>
            </w:tcBorders>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(57,282 )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(66,147 )</w:t>
            </w: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unrealized gain (loss) on marketable securities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(57,115 )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(66,263 )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-2776855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-1833880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-1190625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-1174115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-856615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-839470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880" w:type="dxa"/>
            <w:vAlign w:val="bottom"/>
            <w:gridSpan w:val="4"/>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880" w:type="dxa"/>
            <w:vAlign w:val="bottom"/>
            <w:gridSpan w:val="4"/>
            <w:vMerge w:val="restart"/>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$0.001 par value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680" w:type="dxa"/>
            <w:vAlign w:val="bottom"/>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ve</w:t>
            </w:r>
          </w:p>
        </w:tc>
        <w:tc>
          <w:tcPr>
            <w:tcW w:w="140" w:type="dxa"/>
            <w:vAlign w:val="bottom"/>
          </w:tcPr>
          <w:p>
            <w:pPr>
              <w:spacing w:after="0"/>
              <w:rPr>
                <w:sz w:val="14"/>
                <w:szCs w:val="14"/>
                <w:color w:val="auto"/>
              </w:rPr>
            </w:pP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4,646,590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438,178</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(45 )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(290,872 )</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680" w:type="dxa"/>
            <w:vAlign w:val="bottom"/>
            <w:tcBorders>
              <w:top w:val="single" w:sz="8" w:color="CFF0FC"/>
            </w:tcBorders>
          </w:tcPr>
          <w:p>
            <w:pPr>
              <w:ind w:left="20"/>
              <w:spacing w:after="0" w:line="130" w:lineRule="exact"/>
              <w:rPr>
                <w:sz w:val="20"/>
                <w:szCs w:val="20"/>
                <w:color w:val="auto"/>
              </w:rPr>
            </w:pPr>
            <w:r>
              <w:rPr>
                <w:rFonts w:ascii="Times New Roman" w:cs="Times New Roman" w:eastAsia="Times New Roman" w:hAnsi="Times New Roman"/>
                <w:sz w:val="13"/>
                <w:szCs w:val="13"/>
                <w:color w:val="auto"/>
              </w:rPr>
              <w:t>Proceeds from issuance of common stock in connection with at-</w:t>
            </w: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the-market offering, net of issuance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32,097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(279,79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(2,518 )</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(2,518 )</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50,851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(10,142 )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Unrealized gain (loss) on securities</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(116 )</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(116 )</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(66,147 )</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(66,147 )</w:t>
            </w:r>
          </w:p>
        </w:tc>
        <w:tc>
          <w:tcPr>
            <w:tcW w:w="0" w:type="dxa"/>
            <w:vAlign w:val="bottom"/>
          </w:tcPr>
          <w:p>
            <w:pPr>
              <w:spacing w:after="0"/>
              <w:rPr>
                <w:sz w:val="1"/>
                <w:szCs w:val="1"/>
                <w:color w:val="auto"/>
              </w:rPr>
            </w:pPr>
          </w:p>
        </w:tc>
      </w:tr>
      <w:tr>
        <w:trPr>
          <w:trHeight w:val="143"/>
        </w:trPr>
        <w:tc>
          <w:tcPr>
            <w:tcW w:w="368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Balance at December 31, 2022</w:t>
            </w:r>
          </w:p>
        </w:tc>
        <w:tc>
          <w:tcPr>
            <w:tcW w:w="8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(279,79</w:t>
            </w: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6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4,728,874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442,303</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(161 )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(357,019 )</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(2,518 )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680" w:type="dxa"/>
            <w:vAlign w:val="bottom"/>
            <w:tcBorders>
              <w:top w:val="single" w:sz="8" w:color="CFF0FC"/>
            </w:tcBorders>
          </w:tcPr>
          <w:p>
            <w:pPr>
              <w:ind w:left="20"/>
              <w:spacing w:after="0" w:line="130" w:lineRule="exact"/>
              <w:rPr>
                <w:sz w:val="20"/>
                <w:szCs w:val="20"/>
                <w:color w:val="auto"/>
              </w:rPr>
            </w:pPr>
            <w:r>
              <w:rPr>
                <w:rFonts w:ascii="Times New Roman" w:cs="Times New Roman" w:eastAsia="Times New Roman" w:hAnsi="Times New Roman"/>
                <w:sz w:val="13"/>
                <w:szCs w:val="13"/>
                <w:color w:val="auto"/>
              </w:rPr>
              <w:t>Proceeds from issuance of common stock and accompanying</w:t>
            </w: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pre-funded warrants, net of issuance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3,921,928</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in connection with at-</w:t>
            </w: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the-market offering, net of issuance costs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115,966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pre-funded warrants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669,126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34,478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(15,119 )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Reverse split: fractional share adjustment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(107 )</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 (loss) on securities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(57,282 )</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(57,282 )</w:t>
            </w:r>
          </w:p>
        </w:tc>
        <w:tc>
          <w:tcPr>
            <w:tcW w:w="0" w:type="dxa"/>
            <w:vAlign w:val="bottom"/>
          </w:tcPr>
          <w:p>
            <w:pPr>
              <w:spacing w:after="0"/>
              <w:rPr>
                <w:sz w:val="1"/>
                <w:szCs w:val="1"/>
                <w:color w:val="auto"/>
              </w:rPr>
            </w:pPr>
          </w:p>
        </w:tc>
      </w:tr>
      <w:tr>
        <w:trPr>
          <w:trHeight w:val="143"/>
        </w:trPr>
        <w:tc>
          <w:tcPr>
            <w:tcW w:w="368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color w:val="auto"/>
              </w:rPr>
              <w:t>Balance at December 31, 2023</w:t>
            </w: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(279,79</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9,465,949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459,458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(414,301 )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(2,518 )</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-2999740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-2982595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-2999740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-2982595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-2999740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-2982595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-2999740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-2982595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-2999740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-2982595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-2999740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-2982595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-2999740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-2982595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-1567815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-1551305</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-1567815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-1551305</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-1567815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-1551305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-1567815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-1551305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-1567815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-1551305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-1567815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-1551305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-1567815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-1551305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-239395</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-239395</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-239395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-239395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-239395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-239395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-239395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(57,282 )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(66,147 )</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warrant liability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Transaction costs allocated to warrant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Accretion/amortization of investment securities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(818 )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(772 )</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Reduction in carrying amount of operating lease right of use asset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(2,653 )</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(4,093 )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(3,898 )</w:t>
            </w:r>
          </w:p>
        </w:tc>
      </w:tr>
      <w:tr>
        <w:trPr>
          <w:trHeight w:val="20"/>
        </w:trPr>
        <w:tc>
          <w:tcPr>
            <w:tcW w:w="7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(51,614 )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(56,888 )</w:t>
            </w: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(27,931 )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(82,787 )</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141,866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(728 )</w:t>
            </w: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38,769</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58,351</w:t>
            </w:r>
          </w:p>
        </w:tc>
        <w:tc>
          <w:tcPr>
            <w:tcW w:w="100" w:type="dxa"/>
            <w:vAlign w:val="bottom"/>
            <w:tcBorders>
              <w:top w:val="single" w:sz="8" w:color="CFF0FC"/>
            </w:tcBorders>
          </w:tcPr>
          <w:p>
            <w:pPr>
              <w:spacing w:after="0"/>
              <w:rPr>
                <w:sz w:val="20"/>
                <w:szCs w:val="20"/>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1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at-the-market offering, net of issuance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purchases and exercise of stock options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r>
      <w:tr>
        <w:trPr>
          <w:trHeight w:val="21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pre-funded warrants and purchase warrants, net of</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costs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common stock (treasury stock)</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(2,518 )</w:t>
            </w:r>
          </w:p>
        </w:tc>
      </w:tr>
      <w:tr>
        <w:trPr>
          <w:trHeight w:val="20"/>
        </w:trPr>
        <w:tc>
          <w:tcPr>
            <w:tcW w:w="7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(2,040 )</w:t>
            </w:r>
          </w:p>
        </w:tc>
      </w:tr>
      <w:tr>
        <w:trPr>
          <w:trHeight w:val="20"/>
        </w:trPr>
        <w:tc>
          <w:tcPr>
            <w:tcW w:w="7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(577 )</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acquired under operating lease obligation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costs included in accounts payable and accrued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-4211320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-4211320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-3268345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-3268345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-1742440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-1742440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-1099820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-1082675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-1099820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-1082675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Synlogic, Inc., together with its wholly owned and consolidated subsidiaries (Synlogic or the Company), is a clinical-stage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 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Liquidity</w:t>
      </w:r>
    </w:p>
    <w:p>
      <w:pPr>
        <w:spacing w:after="0" w:line="3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assuming it will continue as a going concern. The going concern assumption contemplates the continuity of operations, and the realization of assets and the satisfaction of liabilities in the ordinary course of business. The Company has historically generated negative cash flows from operations and has an accumulated deficit of $414.3 million at December 31, 2023. At December 31, 2023, the Company had $47.7 million in cash, cash equivalents and short-term marketable securities. Absent any other action, the Company would require additional liquidity to continue its operations over the next 12 months, which raises substantial doubt about the Company's ability to continue as a going concern.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discussed in Note 18, Subsequent Events, in February 2024, the Company and its board of directors approved a plan to discontinue the Synpheny-3 trial, significantly reduce its workforce and evaluate strategic options for the Company. The Company projects that this plan will alleviate the substantial doubt that has been raised through significantly decreasing expenses thereby reducing ongoing liquidity needs to enable the continuation of the evaluation of strategic alternatives for at least 12 months from the issuance date of these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alliances.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While the Company is not aware of a material impact from the continuation of the COVID-19 pandemic through December 31, 2023, the full extent to which the COVID-19 pandemic will directly or indirectly impact the Company’s business, results of operations, and financial condition, including expenses and manufacturing, clinical trials, and research and development costs, depends on future developments that are uncertain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(U.S.) (U.S. GAAP or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On September 27, 2023, the Company effected a one-for-fifteen reverse stock split of its issued and outstanding common stock, which also adjusted all outstanding warrants. Accordingly, all share and per share amounts for all periods presented in the accompanying consolidated financial statements and notes thereto have been adjusted retroactively, where applicable, to reflect this stock split. All fractional shares resulting from the reverse stock split were paid in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revenues and expenses, and related disclosure of contingent assets and liabilities at the date of the consolidated financial statements and the reported amounts of expenses during the reporting period. On an on-going basis, the Company’s management evaluates its estimates, including those related to research and development accruals and prepaids, accrued expenses, contingencies, and investments.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 instruments with a remaining maturity when purchased of three months or less to be cash equivalents. Investments qualifying as cash equivalents consist of money market funds, including money market funds held in a sweep account. Cash equivalents are stated at cost plus accrued interest, which approximates fair value. The amount of cash equivalents included in cash and cash equivalents was approximately $24.0 million and $15.9 million at December 31, 2023 and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include amounts held as cash, cash equivalents, marketable securities and restricted cash. The Company uses high quality, accredited financial institutions to maintain its balances,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held cash of approximately $1.1 million at December 31, 2023 and 2022 in a letter of credit to secure its lease at the 301 Binney Street facility. The Company has classified this deposit as long-term restricted cash on its balance sheet.</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shown in the statement of cash flows (in thousands).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220" w:type="dxa"/>
            <w:vAlign w:val="bottom"/>
            <w:vMerge w:val="restart"/>
            <w:shd w:val="clear" w:color="auto" w:fill="CFF0FC"/>
          </w:tcPr>
          <w:p>
            <w:pPr>
              <w:spacing w:after="0"/>
              <w:rPr>
                <w:sz w:val="18"/>
                <w:szCs w:val="1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 consolidated statement of cash flows</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0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is required to disclose information on all assets and liabilities reported at fair value that enables an assessment of the inputs used in determining the reported fair values. Accounting Standards Codification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fair value hierarchy for those instruments measured at fair value that distinguishes between assumptions based on market data (observable inputs) and the Company’s own assumptions (unobservable inputs). The hierarchy consists of three levels:</w:t>
      </w:r>
    </w:p>
    <w:p>
      <w:pPr>
        <w:spacing w:after="0" w:line="72" w:lineRule="exact"/>
        <w:rPr>
          <w:sz w:val="20"/>
          <w:szCs w:val="20"/>
          <w:color w:val="auto"/>
        </w:rPr>
      </w:pPr>
    </w:p>
    <w:p>
      <w:pPr>
        <w:ind w:left="960" w:hanging="383"/>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Utilize observable inputs such as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Utilize data points that are either directly or indirectly observable, such as quoted prices, interest rates and yield curves;</w:t>
      </w:r>
    </w:p>
    <w:p>
      <w:pPr>
        <w:spacing w:after="0" w:line="117" w:lineRule="exact"/>
        <w:rPr>
          <w:rFonts w:ascii="Times New Roman" w:cs="Times New Roman" w:eastAsia="Times New Roman" w:hAnsi="Times New Roman"/>
          <w:sz w:val="18"/>
          <w:szCs w:val="18"/>
          <w:color w:val="auto"/>
        </w:rPr>
      </w:pPr>
    </w:p>
    <w:p>
      <w:pPr>
        <w:ind w:left="960" w:right="860" w:hanging="383"/>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Utilize unobservable data points in which there is little or no market data, which require the Company to develop its own assumptions for the asset or liability.</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of assets or liabilities between Level 1, Level 2 or Level 3 during the years ended December 31, 2023 and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based upon its intent with regard to such investments. The Company classifies investments as short-term when their remaining contractual maturities are one year or less from the balance sheet date, and as long-term when the investment has a remaining contractual maturity of more than one year from the balance sheet date. Available-for-sale securities are carried at fair value, with the unrealized gains and losses reported in other comprehensive income (loss). The amortized cost of debt securities in this category is adjusted for amortization of premiums and accretion of discounts to maturity. Such amortization is included in interest and investment income. Realized gains and losses and declines in value judged to be other than temporary on available-for-sale securities, are included in interest and investment income.</w:t>
      </w:r>
    </w:p>
    <w:p>
      <w:pPr>
        <w:spacing w:after="0" w:line="18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cost of securities sold is based on the specific identification method. Interest and dividends on securities classified as available-for-sale are included in interest and investment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300" w:firstLine="509"/>
        <w:spacing w:after="0" w:line="222" w:lineRule="exact"/>
        <w:rPr>
          <w:sz w:val="20"/>
          <w:szCs w:val="20"/>
          <w:color w:val="auto"/>
        </w:rPr>
      </w:pPr>
      <w:r>
        <w:rPr>
          <w:rFonts w:ascii="Times New Roman" w:cs="Times New Roman" w:eastAsia="Times New Roman" w:hAnsi="Times New Roman"/>
          <w:sz w:val="18"/>
          <w:szCs w:val="18"/>
          <w:color w:val="auto"/>
        </w:rPr>
        <w:t>Property and equipment, including leasehold improvements, are recorded at cost and depreciated over their estimated useful lives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Repairs and maintenance costs are expensed as incurred, whereas major improvements are capitalized as additions to property and equipment.</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begins at the time the asset is placed in service. Depreciation is provided over the following estimated useful lives: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1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80" w:type="dxa"/>
            <w:vAlign w:val="bottom"/>
          </w:tcPr>
          <w:p>
            <w:pPr>
              <w:spacing w:after="0"/>
              <w:rPr>
                <w:sz w:val="16"/>
                <w:szCs w:val="16"/>
                <w:color w:val="auto"/>
              </w:rPr>
            </w:pPr>
          </w:p>
        </w:tc>
      </w:tr>
      <w:tr>
        <w:trPr>
          <w:trHeight w:val="236"/>
        </w:trPr>
        <w:tc>
          <w:tcPr>
            <w:tcW w:w="1700" w:type="dxa"/>
            <w:vAlign w:val="bottom"/>
          </w:tcPr>
          <w:p>
            <w:pPr>
              <w:spacing w:after="0"/>
              <w:rPr>
                <w:sz w:val="20"/>
                <w:szCs w:val="20"/>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 years</w:t>
            </w: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Lesser of useful life or remaining lease term</w:t>
            </w:r>
          </w:p>
        </w:tc>
        <w:tc>
          <w:tcPr>
            <w:tcW w:w="1680" w:type="dxa"/>
            <w:vAlign w:val="bottom"/>
          </w:tcPr>
          <w:p>
            <w:pPr>
              <w:spacing w:after="0"/>
              <w:rPr>
                <w:sz w:val="20"/>
                <w:szCs w:val="20"/>
                <w:color w:val="auto"/>
              </w:rPr>
            </w:pPr>
          </w:p>
        </w:tc>
      </w:tr>
      <w:tr>
        <w:trPr>
          <w:trHeight w:val="657"/>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F-10</w:t>
            </w:r>
          </w:p>
        </w:tc>
        <w:tc>
          <w:tcPr>
            <w:tcW w:w="1680" w:type="dxa"/>
            <w:vAlign w:val="bottom"/>
          </w:tcPr>
          <w:p>
            <w:pPr>
              <w:spacing w:after="0"/>
              <w:rPr>
                <w:sz w:val="24"/>
                <w:szCs w:val="24"/>
                <w:color w:val="auto"/>
              </w:rPr>
            </w:pPr>
          </w:p>
        </w:tc>
      </w:tr>
      <w:tr>
        <w:trPr>
          <w:trHeight w:val="736"/>
        </w:trPr>
        <w:tc>
          <w:tcPr>
            <w:tcW w:w="17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-43815</wp:posOffset>
            </wp:positionV>
            <wp:extent cx="64135"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7" w:lineRule="exact"/>
        <w:rPr>
          <w:sz w:val="20"/>
          <w:szCs w:val="20"/>
          <w:color w:val="auto"/>
        </w:rPr>
      </w:pPr>
    </w:p>
    <w:p>
      <w:pPr>
        <w:ind w:firstLine="509"/>
        <w:spacing w:after="0" w:line="231"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of the asset. To date, no such impairments have been recognized.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uses judgement to assess if an arrangement is a lease at contract inception. An arrangement is a lease if the contract involves the use of a distinct identified asset, the lessor does not have substantive substitution rights and the Company obtains control of the asset throughout the period by obtaining substantially all of the economic benefit of the asset and the right to direct the use of the asset. Leases classified as operating leases are included in operating lease right-of-use (ROU) assets, current operating lease liabilities and noncurrent operating lease liabilities in our consolidated balance sheet. Finance leases are included in property and equipment and finance lease obligations in our consolidated balance sheet.</w:t>
      </w:r>
    </w:p>
    <w:p>
      <w:pPr>
        <w:spacing w:after="0" w:line="183"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ROU assets represent the right-to-use an underlying asset for the lease term and lease liabilities represent the obligation to make lease payments arising from the lease. ROU assets and lease liabilities are recognized at the lease commencement date based on the estimated present value of lease payments over the lease term. The Company utilizes its incremental borrowing rate to determine the present value of lease payments. The incremental borrowing rate is the rate incurred to borrow similar funds, on a collateralized basis, over a comparable term in a similar economic environment.</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elected to account for the lease and non-lease components for leases as a single component for classes of all underlying assets and allocate all of the contract consideration to the lease component only. Lease cost for operating leases is recognized on a straight-line basis over the lease term and is included in operating expenses on the statements of operations and comprehensive loss. Variable lease payments are included in lease operating expenses.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lease term includes options to extend the lease when it is reasonably certain that option will be exercised. Leases with a term of 12 months or less are not recorded on the Company’s consolidated balance sheet.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Costs incurred in research and development are expensed as incurred. The Company defers and capitalizes nonrefundable advance payments made by the Company for research and development activities until the related goods are received or the related services are performed.</w:t>
      </w:r>
    </w:p>
    <w:p>
      <w:pPr>
        <w:spacing w:after="0" w:line="16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comprised of costs incurred in performing research and development activities, including salary and benefits, equity-based compensation expense, laboratory supplies and other direct expenses, facilities expenses, overhead expenses, contractual services and other outside expenses.</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the completion status of the research and development programs and the associated estimate of unbilled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1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issued warrants either as a liability or equity in accordance with ASC 480-10, </w:t>
      </w:r>
      <w:r>
        <w:rPr>
          <w:rFonts w:ascii="Times New Roman" w:cs="Times New Roman" w:eastAsia="Times New Roman" w:hAnsi="Times New Roman"/>
          <w:sz w:val="18"/>
          <w:szCs w:val="18"/>
          <w:i w:val="1"/>
          <w:iCs w:val="1"/>
          <w:color w:val="auto"/>
        </w:rPr>
        <w:t>Accounting for Certain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with Characteristics of both Liabilities and Equity </w:t>
      </w:r>
      <w:r>
        <w:rPr>
          <w:rFonts w:ascii="Times New Roman" w:cs="Times New Roman" w:eastAsia="Times New Roman" w:hAnsi="Times New Roman"/>
          <w:sz w:val="18"/>
          <w:szCs w:val="18"/>
          <w:color w:val="auto"/>
        </w:rPr>
        <w:t>(“ASC 480-10”) or ASC 815-40,</w:t>
      </w:r>
      <w:r>
        <w:rPr>
          <w:rFonts w:ascii="Times New Roman" w:cs="Times New Roman" w:eastAsia="Times New Roman" w:hAnsi="Times New Roman"/>
          <w:sz w:val="18"/>
          <w:szCs w:val="18"/>
          <w:i w:val="1"/>
          <w:iCs w:val="1"/>
          <w:color w:val="auto"/>
        </w:rPr>
        <w:t xml:space="preserve"> Accounting for Derivative Financial Instruments Indexed to, and Potentially Settled in, a Company’s Own Stock </w:t>
      </w:r>
      <w:r>
        <w:rPr>
          <w:rFonts w:ascii="Times New Roman" w:cs="Times New Roman" w:eastAsia="Times New Roman" w:hAnsi="Times New Roman"/>
          <w:sz w:val="18"/>
          <w:szCs w:val="18"/>
          <w:color w:val="auto"/>
        </w:rPr>
        <w:t>(“ASC 815-40”). The assessment considers whether the warrants are freestanding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Warrants that are equity-classified instruments and recorded in additional paid-in capital at issuance are not subject to remeasurement. The purchase warrants issued in October 2023 are liability classified and recorded at fair value using the Black-Scholes option-pricing model at issuance, with any subsequent changes in fair value recognized in the consolidated statements of operations. The Company periodically evaluates changes in facts and circumstances that could impact the classification of warrants.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35"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was generating revenue through a collaboration and option agreement with Roche for the development and commercialization of product candidates. The Roche Collaboration and Option Agreement concluded after the last milestone was achieved by the Company in October 2023. Subsequently, Roche did not exercise its exclusive option to enter into a licensing and collaboration agreement for further development and commercialization of the product candidate.</w:t>
      </w:r>
    </w:p>
    <w:p>
      <w:pPr>
        <w:spacing w:after="0" w:line="17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collaboration agreements with respect to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considering the nature and contractual terms of the arrangement and the nature of its business operations to determine the classification of the transactions. When the Company is an active participant in the activity and exposed to significant risks and rewards dependent on the commercial success of the collaboration, it will record its transactions on a gross basis in the consolidated financial statements and describe the rights and obligations under the collaborative arrangement in the notes to the consolidated financial statements.</w:t>
      </w:r>
    </w:p>
    <w:p>
      <w:pPr>
        <w:spacing w:after="0" w:line="185"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3"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The Company may enter into collaboration agreements for research and development services, under which the Company may license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not be at significant risk of reversal.</w:t>
      </w:r>
    </w:p>
    <w:p>
      <w:pPr>
        <w:spacing w:after="0" w:line="16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w:t>
      </w:r>
    </w:p>
    <w:p>
      <w:pPr>
        <w:spacing w:after="0" w:line="5" w:lineRule="exact"/>
        <w:rPr>
          <w:sz w:val="20"/>
          <w:szCs w:val="20"/>
          <w:color w:val="auto"/>
        </w:rPr>
      </w:pPr>
    </w:p>
    <w:p>
      <w:pPr>
        <w:ind w:right="20" w:firstLine="8"/>
        <w:spacing w:after="0" w:line="253" w:lineRule="auto"/>
        <w:tabs>
          <w:tab w:leader="none" w:pos="2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 the transaction price under step (iii) above; and c) the contract term and pattern of satisfaction of the performance obligations under step (v) above. The Company uses significant judgment to determine whether milestones or other variable consideration, except for royalties, should be included in the transaction price as described further below. The transaction price is allocated to the goods and services the Company expects to provide. The Company uses estimates to determine the timing of satisfaction of performance obligations, which may include the use of full-time equivalent time as a measure of satisfaction of performance obligations.</w:t>
      </w:r>
    </w:p>
    <w:p>
      <w:pPr>
        <w:spacing w:after="0" w:line="187"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Licenses of Intellectual Property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assessing whether a promise or performance obligation is distinct from the other promises, we consider factors such as the research, manufacturing and commercialization capabilities of the customer and the availability of the associated expertise in the general marketplace. In addition, we consider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Services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 arrangement is determined to contain a promise or obligation for us to perform research and development services, we must determine whether these services are distinct from the other promises in the arrangement. In assessing whether the services are distinct from the other promises, we consider the capabilities of the customer to perform these same services. In addition, we consider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estimates we use to record revenue relating to the combined performance obligation on an over time basis, include input methods such as full-time equivalent time incurred compared to the full-time equivalent time expected to be incurred in the future to satisfy the performance obligation, which require management judgment. We evaluate the measure of progress each reporting period and, if necessary, adjust the measure of performance and related revenue recognition. With this method, we must estimate total inputs required to satisfy a performance obligation and measure efforts expended to date to determine revenue recognition. This estimate of remaining inputs is subjective, as the research is novel, and therefore efforts to be successful may be different than the estimated efforts at the balance sheet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Options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an alternative approach when the goods or services are both (i) similar to the original goods and services in the contract and (ii) provided in accordance with the terms of the original contract. Under this alternative, the Company allocates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Milestone Payments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the Company evaluates whether a 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Royalties</w:t>
      </w:r>
    </w:p>
    <w:p>
      <w:pPr>
        <w:spacing w:after="0" w:line="119"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as an asset the incremental costs of obtaining a contract with a customer if the costs are expected to be recovered. As a practical expedient, the Company recognizes the incremental costs of obtaining a contract as an expense when incurred if the amortization period of the asset that we otherwise would have recognized is one year or less. To date, the Company has not incurred any incremental costs of obtaining a contract with a customer.</w:t>
      </w:r>
    </w:p>
    <w:p>
      <w:pPr>
        <w:spacing w:after="0" w:line="24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Equity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-43815</wp:posOffset>
            </wp:positionV>
            <wp:extent cx="6413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60" w:firstLine="509"/>
        <w:spacing w:after="0" w:line="218" w:lineRule="exact"/>
        <w:rPr>
          <w:sz w:val="20"/>
          <w:szCs w:val="20"/>
          <w:color w:val="auto"/>
        </w:rPr>
      </w:pPr>
      <w:r>
        <w:rPr>
          <w:rFonts w:ascii="Times New Roman" w:cs="Times New Roman" w:eastAsia="Times New Roman" w:hAnsi="Times New Roman"/>
          <w:sz w:val="18"/>
          <w:szCs w:val="18"/>
          <w:color w:val="auto"/>
        </w:rPr>
        <w:t>The Company measures equity-based compensation to employees, non-employees and directors based on the grant date fair value of the awards and recognizes the associated expense in the financial statements over the requisite service period of the award, which is generally the vesting period. The fair value of each option and purchase rights under the employee stock purchase plan (ESPP) is estimated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Expected volatility for the Company’s common stock is determined based on an average of the historical volatility of the Company and the historical volatility of a peer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of similar public companies. The expected term of options granted to employees is calculated using the simplified method, which represents the average of the contractual term of the option and the weighted-average vesting period of the option. The expected term of purchase rights for the ESPP is based on the duration of an offering period. The assumed dividend yield is based upon the Company’s expectation of not paying dividends in the foreseeable future.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upon the U.S. Treasury yield curve commensurate with the expected term at the time of grant or remeasurement. Forfeitures are recognized as they occur.</w:t>
      </w:r>
    </w:p>
    <w:p>
      <w:pPr>
        <w:spacing w:after="0" w:line="20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statements of operations and comprehensive loss in the same manner in which the award recipient’s payroll costs are classified or in which the award recipients’ service payments are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outstanding stock options and potential shares issuable under the ESPP.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financial information is available for evaluation by the chief operating decision maker, or decision-making group, in deciding how to allocate resources and in assessing performance. The Company operates in one operating segment: discovery and development of synthetic biology therapeutics for the treatment of rare, infectious and other diseases. The Company’s chief executive officer, as chief operating decision maker, manages and allocates resources to the operations of the Company on a total company basis. All of the Company’s equipment, leasehold improvements and other fixed assets are physically located within the United States, and all agreements with its partners are denominated in U.S. dollars, except where noted.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Treasury stock purchases are accounted for under the cost method whereby the entire cost of the acquired stock is recorded as treasury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accounting standard setting bodies that the Company adopts as of the specified effective date. Unless otherwise discussed below, recently issued pronouncements that are or will be applicable to the Company did not have, or are not expected to have, a material impact on its present or future consolidated financial statements or disclosures.</w:t>
      </w:r>
    </w:p>
    <w:p>
      <w:pPr>
        <w:spacing w:after="0" w:line="284"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the Company’s assets that are measured at fair value on a recurring basis as of December 31, 2023 and 2022 and indicate the fair value hierarchy of the valuation techniques the Company utilized to determine such fair value, as described under Note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2023 and 2022, the Company has classified assets measured at fair value on a recurring basis as follows (in thousands):</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7"/>
        </w:trPr>
        <w:tc>
          <w:tcPr>
            <w:tcW w:w="39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 (included in cash and cash</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7"/>
        </w:trPr>
        <w:tc>
          <w:tcPr>
            <w:tcW w:w="39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77,629</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2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-1465580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-1447800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-1465580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-1447800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-1465580</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-1447800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-1465580</wp:posOffset>
            </wp:positionV>
            <wp:extent cx="596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-1447800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-187960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-187960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-187960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Cash equivalents, prepaid expenses and other current assets, accounts payable and accrued expenses at December 31, 2023 and December 31, 2022 are carried at amounts that approximate fair value due to their short-term maturities. Finance lease obligations at December 31, 2023 and December 31, 2022 approximate fair value as they bear interest at a rate approximating a market interest rate.</w:t>
      </w:r>
    </w:p>
    <w:p>
      <w:pPr>
        <w:spacing w:after="0" w:line="243"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estimated fair value of the assets presented within cash and cash equivalents measured at fair value and the gross unrealized holding gains and losses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6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5"/>
        </w:trPr>
        <w:tc>
          <w:tcPr>
            <w:tcW w:w="4280" w:type="dxa"/>
            <w:vAlign w:val="bottom"/>
            <w:tcBorders>
              <w:top w:val="single" w:sz="8" w:color="auto"/>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98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 (included in cash and cash equivalents)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2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2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60" w:type="dxa"/>
            <w:vAlign w:val="bottom"/>
          </w:tcPr>
          <w:p>
            <w:pPr>
              <w:spacing w:after="0"/>
              <w:rPr>
                <w:sz w:val="24"/>
                <w:szCs w:val="24"/>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160" w:type="dxa"/>
            <w:vAlign w:val="bottom"/>
            <w:vMerge w:val="restart"/>
            <w:shd w:val="clear" w:color="auto" w:fill="CFF0FC"/>
          </w:tcPr>
          <w:p>
            <w:pPr>
              <w:spacing w:after="0"/>
              <w:rPr>
                <w:sz w:val="17"/>
                <w:szCs w:val="17"/>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280" w:type="dxa"/>
            <w:vAlign w:val="bottom"/>
            <w:vMerge w:val="restart"/>
            <w:shd w:val="clear" w:color="auto" w:fill="CFF0FC"/>
          </w:tcPr>
          <w:p>
            <w:pPr>
              <w:spacing w:after="0"/>
              <w:rPr>
                <w:sz w:val="17"/>
                <w:szCs w:val="17"/>
                <w:color w:val="auto"/>
              </w:rPr>
            </w:pPr>
          </w:p>
        </w:tc>
        <w:tc>
          <w:tcPr>
            <w:tcW w:w="700" w:type="dxa"/>
            <w:vAlign w:val="bottom"/>
            <w:vMerge w:val="restart"/>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FF0FC"/>
          </w:tcPr>
          <w:p>
            <w:pPr>
              <w:spacing w:after="0"/>
              <w:rPr>
                <w:sz w:val="17"/>
                <w:szCs w:val="17"/>
                <w:color w:val="auto"/>
              </w:rPr>
            </w:pPr>
          </w:p>
        </w:tc>
        <w:tc>
          <w:tcPr>
            <w:tcW w:w="6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vMerge w:val="restart"/>
            <w:shd w:val="clear" w:color="auto" w:fill="CFF0FC"/>
          </w:tcPr>
          <w:p>
            <w:pPr>
              <w:spacing w:after="0"/>
              <w:rPr>
                <w:sz w:val="17"/>
                <w:szCs w:val="17"/>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vMerge w:val="continue"/>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98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F-16</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-1679575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-1662430</wp:posOffset>
            </wp:positionV>
            <wp:extent cx="76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-1679575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-1662430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-1679575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-1662430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-1096645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-1096645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-1096645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available-for-sale securities held at December 31, 2023 and 2022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1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8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24"/>
                <w:szCs w:val="24"/>
                <w:color w:val="auto"/>
              </w:rPr>
            </w:pPr>
          </w:p>
        </w:tc>
        <w:tc>
          <w:tcPr>
            <w:tcW w:w="11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(99 )</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-1207770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-1207770</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-1207770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-1207770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-187960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The contractual maturity of all securities held at December 31, 2023 was six months or less. There were two investments in an unrealized loss position at December 31, 2023. The aggregate fair value of the securities in an unrealized loss position at December 31, 2023 and 2022 was $5.4 million and $36.6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maturity or a market price recovery and considers whether evidence indicating the cost of the investment is recoverable outweighs evidence to the contrary. The Company did not hold any securities with an other-than-temporary impairment at December 31, 2023.</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realized gains and losses on the sales of investments have not been material to the Company’s consolidated statement of operations.</w:t>
      </w:r>
    </w:p>
    <w:p>
      <w:pPr>
        <w:spacing w:after="0" w:line="329"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5"/>
                <w:szCs w:val="15"/>
                <w:color w:val="auto"/>
              </w:rPr>
            </w:pPr>
          </w:p>
        </w:tc>
      </w:tr>
      <w:tr>
        <w:trPr>
          <w:trHeight w:val="187"/>
        </w:trPr>
        <w:tc>
          <w:tcPr>
            <w:tcW w:w="17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7"/>
        </w:trPr>
        <w:tc>
          <w:tcPr>
            <w:tcW w:w="1700" w:type="dxa"/>
            <w:vAlign w:val="bottom"/>
          </w:tcPr>
          <w:p>
            <w:pPr>
              <w:spacing w:after="0"/>
              <w:rPr>
                <w:sz w:val="20"/>
                <w:szCs w:val="20"/>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7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33"/>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F-17</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-933450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74"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80" w:type="dxa"/>
            <w:vAlign w:val="bottom"/>
          </w:tcPr>
          <w:p>
            <w:pPr>
              <w:spacing w:after="0"/>
              <w:rPr>
                <w:sz w:val="20"/>
                <w:szCs w:val="20"/>
                <w:color w:val="auto"/>
              </w:rPr>
            </w:pPr>
          </w:p>
        </w:tc>
      </w:tr>
      <w:tr>
        <w:trPr>
          <w:trHeight w:val="24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20,463</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(14,284 )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(13,140 )</w:t>
            </w:r>
          </w:p>
        </w:tc>
      </w:tr>
      <w:tr>
        <w:trPr>
          <w:trHeight w:val="237"/>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80" w:type="dxa"/>
            <w:vAlign w:val="bottom"/>
            <w:tcBorders>
              <w:top w:val="single" w:sz="8" w:color="CFF0FC"/>
            </w:tcBorders>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-504825</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on property and equipment was $2.0 million and $2.5 million in 2023 and 2022, respectively.</w:t>
      </w:r>
    </w:p>
    <w:p>
      <w:pPr>
        <w:spacing w:after="0" w:line="329"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0"/>
                <w:szCs w:val="20"/>
                <w:color w:val="auto"/>
              </w:rPr>
            </w:pPr>
          </w:p>
        </w:tc>
      </w:tr>
      <w:tr>
        <w:trPr>
          <w:trHeight w:val="277"/>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September 27, 2023, the Company effected a reverse stock split of its shares of common stock, pursuant to which every fifteen (15) shares of the its issued and outstanding common stock was automatically converted into one (1) issued and outstanding share of common stock without any change in the par value of $0.001 per share. The reverse stock split was approved by the stockholders on September 21, 2023 at a special meeting of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2023 Financing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3, 2023, the Company issued and sold, through an underwritten public offering:</w:t>
      </w:r>
    </w:p>
    <w:p>
      <w:pPr>
        <w:spacing w:after="0" w:line="117" w:lineRule="exact"/>
        <w:rPr>
          <w:sz w:val="20"/>
          <w:szCs w:val="20"/>
          <w:color w:val="auto"/>
        </w:rPr>
      </w:pPr>
    </w:p>
    <w:p>
      <w:pPr>
        <w:ind w:left="1080" w:hanging="563"/>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3,921,928 shares of its common stock at a price of $2.84 per share less underwriting discounts and commissions;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3,472,435 shares of its common stock at a price of $2.839 immediately following the consummation of the offering, and;</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accompanying common stock warrants to purchase up to 7,394,363 shares of its common stock at a price of $3.408 per share exercisable immediately after issuance and expires five years from the date of issuance.</w:t>
      </w:r>
    </w:p>
    <w:p>
      <w:pPr>
        <w:spacing w:after="0" w:line="54"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Each share of its common stock and each pre-funded warrant was sold together with a common warrant to purchase one share of its common stock. A holder of pre-funded warrants may not exercise the warrant if the holder, together with its affiliates, would beneficially own more than 4.99% (or, upon election by a holder prior to the issuance of any warrants, 9.99%) of the number of shares of common stock outstanding immediately after giving effect to such exercise. The net proceeds to the Company from the sale of common stock and pre-funded warrants through the offering, after deducting the underwriting discounts and commissions and offering expenses payable by the Company, were approximately $19.6 million.</w:t>
      </w:r>
    </w:p>
    <w:p>
      <w:pPr>
        <w:spacing w:after="0" w:line="75"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common stock and pre-funded warrants met the criteria for equity classification. The purchase warrants met the definition of a derivative instrument. Accordingly, upon issuance, the purchase warrants were recorded as a liability at fair value using the Black-Scholes option-pricing model in the amount of $7.1 million. Any subsequent changes in fair value of the purchase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warrants is recognized in the consolidated statements of operations. The residual proceeds were allocated between the common stock and pre-funded warrants based on their relative fair values at the time of issuance. The amount allocated to the pre-funded warrants was recorded as a component of stockholders’ equity within additional paid-in capital.</w:t>
      </w:r>
    </w:p>
    <w:p>
      <w:pPr>
        <w:spacing w:after="0" w:line="6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2023, the fair value of the purchase warrants was $11.2 million. Accordingly, a loss on remeasurement of the purchase warrant liability of $4.1 million was recorded in the fourth quarter of 2023. The assumptions used in the Black-Scholes option-pricing model at issuance and at December 31, 2023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179070</wp:posOffset>
            </wp:positionV>
            <wp:extent cx="76835"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179070</wp:posOffset>
            </wp:positionV>
            <wp:extent cx="6858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7">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62" w:lineRule="exact"/>
        <w:rPr>
          <w:sz w:val="20"/>
          <w:szCs w:val="20"/>
          <w:color w:val="auto"/>
        </w:rPr>
      </w:pPr>
    </w:p>
    <w:tbl>
      <w:tblPr>
        <w:tblLayout w:type="fixed"/>
        <w:tblInd w:w="164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100" w:type="dxa"/>
            <w:vAlign w:val="bottom"/>
          </w:tcPr>
          <w:p>
            <w:pPr>
              <w:spacing w:after="0"/>
              <w:rPr>
                <w:sz w:val="16"/>
                <w:szCs w:val="16"/>
                <w:color w:val="auto"/>
              </w:rPr>
            </w:pPr>
          </w:p>
        </w:tc>
      </w:tr>
      <w:tr>
        <w:trPr>
          <w:trHeight w:val="23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80" w:type="dxa"/>
            <w:vAlign w:val="bottom"/>
            <w:shd w:val="clear" w:color="auto" w:fill="CFF0FC"/>
          </w:tcPr>
          <w:p>
            <w:pPr>
              <w:spacing w:after="0"/>
              <w:rPr>
                <w:sz w:val="20"/>
                <w:szCs w:val="20"/>
                <w:color w:val="auto"/>
              </w:rPr>
            </w:pPr>
          </w:p>
        </w:tc>
        <w:tc>
          <w:tcPr>
            <w:tcW w:w="21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4.75 years</w:t>
            </w:r>
          </w:p>
        </w:tc>
        <w:tc>
          <w:tcPr>
            <w:tcW w:w="300" w:type="dxa"/>
            <w:vAlign w:val="bottom"/>
            <w:shd w:val="clear" w:color="auto" w:fill="CFF0FC"/>
          </w:tcPr>
          <w:p>
            <w:pPr>
              <w:spacing w:after="0"/>
              <w:rPr>
                <w:sz w:val="20"/>
                <w:szCs w:val="20"/>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years</w:t>
            </w:r>
          </w:p>
        </w:tc>
        <w:tc>
          <w:tcPr>
            <w:tcW w:w="100" w:type="dxa"/>
            <w:vAlign w:val="bottom"/>
          </w:tcPr>
          <w:p>
            <w:pPr>
              <w:spacing w:after="0"/>
              <w:rPr>
                <w:sz w:val="20"/>
                <w:szCs w:val="20"/>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risk free interest rate</w:t>
            </w:r>
          </w:p>
        </w:tc>
        <w:tc>
          <w:tcPr>
            <w:tcW w:w="280" w:type="dxa"/>
            <w:vAlign w:val="bottom"/>
          </w:tcPr>
          <w:p>
            <w:pPr>
              <w:spacing w:after="0"/>
              <w:rPr>
                <w:sz w:val="20"/>
                <w:szCs w:val="20"/>
                <w:color w:val="auto"/>
              </w:rPr>
            </w:pP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3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80" w:type="dxa"/>
            <w:vAlign w:val="bottom"/>
          </w:tcPr>
          <w:p>
            <w:pPr>
              <w:spacing w:after="0"/>
              <w:rPr>
                <w:sz w:val="20"/>
                <w:szCs w:val="20"/>
                <w:color w:val="auto"/>
              </w:rPr>
            </w:pP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94.0 %</w:t>
            </w:r>
          </w:p>
        </w:tc>
        <w:tc>
          <w:tcPr>
            <w:tcW w:w="3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91.1 %</w:t>
            </w:r>
          </w:p>
        </w:tc>
      </w:tr>
      <w:tr>
        <w:trPr>
          <w:trHeight w:val="25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80" w:type="dxa"/>
            <w:vAlign w:val="bottom"/>
          </w:tcPr>
          <w:p>
            <w:pPr>
              <w:spacing w:after="0"/>
              <w:rPr>
                <w:sz w:val="21"/>
                <w:szCs w:val="21"/>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-462280</wp:posOffset>
            </wp:positionV>
            <wp:extent cx="5057775"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8">
                      <a:extLst>
                        <a:ext uri="{28A0092B-C50C-407E-A947-70E740481C1C}"/>
                      </a:extLst>
                    </a:blip>
                    <a:srcRect/>
                    <a:stretch>
                      <a:fillRect/>
                    </a:stretch>
                  </pic:blipFill>
                  <pic:spPr bwMode="auto">
                    <a:xfrm>
                      <a:off x="0" y="0"/>
                      <a:ext cx="5057775" cy="154305"/>
                    </a:xfrm>
                    <a:prstGeom prst="rect">
                      <a:avLst/>
                    </a:prstGeom>
                    <a:noFill/>
                  </pic:spPr>
                </pic:pic>
              </a:graphicData>
            </a:graphic>
          </wp:anchor>
        </w:drawing>
      </w:r>
    </w:p>
    <w:p>
      <w:pPr>
        <w:spacing w:after="0" w:line="39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Subsequent to their issuance and through December 31, 2023, 669,126 pre-funded warrants have been exercised. None of the purchase warrants have been exercised since their issuance.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(ATM) Offering Program</w:t>
      </w:r>
    </w:p>
    <w:p>
      <w:pPr>
        <w:spacing w:after="0" w:line="11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July 2021, the Company entered into a sales agreement with Jefferies, LLC (Jefferies) with respect to an ATM,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year ended December 31, 2023, 115,966 shares of common stock were sold pursuant to the sales agreement with Jefferies, resulting in net proceeds of approximately $1.25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Ginkgo Warrants</w:t>
      </w:r>
    </w:p>
    <w:p>
      <w:pPr>
        <w:spacing w:after="0" w:line="11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June 2019, the Company issued to Ginkgo Bioworks, Inc. (Ginkgo) 422,718 shares of common stock and accompanying Pre-Funded Warrants (the Pre-Funded Warrants) to purchase up to an aggregate of 169,874 shares of common stock, at a combined purchase price per share and Pre-Funded Warrant of $135. The Pre-Funded Warrants have an exercise price of $135 per share, with $134.85 of such exercise price paid at the closing of the offering. The proceeds, net of issuance costs, were approximately $79.9 million, $57.0 million related to the proceeds from sale of the common stock and $22.9 million related to the proceeds from sale of the Pre-Funded Warrants. 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 The Pre-Funded Warrants were classified as a component of permanent equity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common shares upon exercise. In addition, such warrants do not provide any guarantee of value or return. In addition, in connection with the issuance to Ginkgo of common stock and Pre-Funded Warrants, the Company expanded its existing collaboration and entered into an agreement with Ginkgo for the research and development of engineered microbial therapeutic products. None of the Pre-Funded Warrants have been exercised as of December 31, 2023. (See Note 10,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Ginkgo Collaboration</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reserved for future issuance the following shares of common stock related to the potential exercise of warrants, exercise of stock options, and the employee stock purchase plan:</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28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pre-funded warrants</w:t>
            </w:r>
          </w:p>
        </w:tc>
        <w:tc>
          <w:tcPr>
            <w:tcW w:w="3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2,803,309</w:t>
            </w:r>
          </w:p>
        </w:tc>
      </w:tr>
      <w:tr>
        <w:trPr>
          <w:trHeight w:val="23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issuable under purchase warrants</w:t>
            </w:r>
          </w:p>
        </w:tc>
        <w:tc>
          <w:tcPr>
            <w:tcW w:w="3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3,921,928</w:t>
            </w:r>
          </w:p>
        </w:tc>
      </w:tr>
      <w:tr>
        <w:trPr>
          <w:trHeight w:val="247"/>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Ginkgo pre-funded warrants</w:t>
            </w:r>
          </w:p>
        </w:tc>
        <w:tc>
          <w:tcPr>
            <w:tcW w:w="3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169,874</w:t>
            </w:r>
          </w:p>
        </w:tc>
      </w:tr>
      <w:tr>
        <w:trPr>
          <w:trHeight w:val="23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to purchase common stock</w:t>
            </w:r>
          </w:p>
        </w:tc>
        <w:tc>
          <w:tcPr>
            <w:tcW w:w="3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311,199</w:t>
            </w:r>
          </w:p>
        </w:tc>
      </w:tr>
      <w:tr>
        <w:trPr>
          <w:trHeight w:val="243"/>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19,751</w:t>
            </w:r>
          </w:p>
        </w:tc>
      </w:tr>
      <w:tr>
        <w:trPr>
          <w:trHeight w:val="24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7,226,061</w:t>
            </w:r>
          </w:p>
        </w:tc>
      </w:tr>
      <w:tr>
        <w:trPr>
          <w:trHeight w:val="20"/>
        </w:trPr>
        <w:tc>
          <w:tcPr>
            <w:tcW w:w="682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520" w:hanging="512"/>
        <w:spacing w:after="0" w:line="207" w:lineRule="exact"/>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and Equity Incentive Plans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currently has four active equity plans.</w:t>
      </w:r>
    </w:p>
    <w:p>
      <w:pPr>
        <w:spacing w:after="0" w:line="225" w:lineRule="exact"/>
        <w:rPr>
          <w:sz w:val="20"/>
          <w:szCs w:val="20"/>
          <w:color w:val="auto"/>
        </w:rPr>
      </w:pPr>
    </w:p>
    <w:p>
      <w:pPr>
        <w:ind w:right="180" w:firstLine="509"/>
        <w:spacing w:after="0" w:line="223" w:lineRule="exact"/>
        <w:rPr>
          <w:sz w:val="20"/>
          <w:szCs w:val="20"/>
          <w:color w:val="auto"/>
        </w:rPr>
      </w:pPr>
      <w:r>
        <w:rPr>
          <w:rFonts w:ascii="Times New Roman" w:cs="Times New Roman" w:eastAsia="Times New Roman" w:hAnsi="Times New Roman"/>
          <w:sz w:val="18"/>
          <w:szCs w:val="18"/>
          <w:color w:val="auto"/>
        </w:rPr>
        <w:t>The 2015 Equity Incentive Award Plan (2015 Plan) functions as the primary equity plan for the Company. The 2015 Plan includes an “evergreen provision” that allows for an annual increase in the number of shares of common stock available for issuance under the 2015 Plan, which annual increase will be added on the first day of each fiscal year from 2016 through 2025, inclusive, and will be equal to the lesser of (i) five percent of the shares outstanding on the last day of the immediately preceding fiscal year and (ii) such smaller number of shares as determined by the Board of Directors. On January 1, 2023, the Company added 222,454 shares to the 2015 Plan pursuant to the “evergreen provision”. The 2015 Plan provides for the granting of a variety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w:t>
      </w:r>
    </w:p>
    <w:p>
      <w:pPr>
        <w:spacing w:after="0" w:line="170"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2017 Stock Incentive Plan (the 2017 Plan) provides for the grant of incentive stock options, non-qualified stock options, restricted and unrestricted stock awards and other stock-based awards.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2015 Employee Stock Purchase Plan (ESPP) allows eligible employees to purchase shares of the Company’s common stock at a discount through payroll deductions of up to 15% of their eligible compensation, subject to any plan limitations. The ESPP generally provides for set offering periods, and at the end of each offering period, employees are able to purchase shares at 85% of the lower of the fair market value of the Company’s common stock on the first trading day of the offering period or on the last trading day of the offering period. The Company suspended the ESPP in 2017. In December 2019, the Board reactivated the 2015 ESPP and approved an amendment to the ESPP to (i) reduce the permitted payroll deduction and number of shares of the Company’s common stock that a participant may purchase per calendar year and offering period under the ESPP and (ii) establish a period for enrollment for eligible participants. The reactivation of the 2015 ESPP was effective immediately. The Company’s executive officers are eligible to participate in the 2015 ESPP. The ESPP includes an “evergreen provision,” allowing for an annual increase in the number of shares of common stock available for issuance. On January 1, 2023, the Company added 44,490 shares to the ESPP pursuant to the “evergreen provision”. There were 34,478 shares of common stock purchased under the ESPP during the year ended December 31, 2023.</w:t>
      </w:r>
    </w:p>
    <w:p>
      <w:pPr>
        <w:spacing w:after="0" w:line="8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2023 Inducement Equity Incentive Award Plan (the 2023 Inducement Plan) was established as of December 8, 2023 to provide for the granting of equity awards to individuals who were not previously employees of Synlogic, or following a bona fide period of non-employment, as an inducement material to such individuals’ entering into employment with Synlogic, pursuant to Nasdaq Listing Rule 5635(c)(4). No shares were issued under the 2023 Inducement Plan during the year ended December 31,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the Black-Scholes option-pricing model for stock options issued to employees and non-employees under the 2015 Plan and the 2017 Plan, during the years ended December 31, 2023 and 2022 were: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7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24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4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6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40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6.2 years</w:t>
            </w:r>
          </w:p>
        </w:tc>
        <w:tc>
          <w:tcPr>
            <w:tcW w:w="16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6.2 years</w:t>
            </w:r>
          </w:p>
        </w:tc>
        <w:tc>
          <w:tcPr>
            <w:tcW w:w="13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370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3.7%</w:t>
            </w:r>
          </w:p>
        </w:tc>
        <w:tc>
          <w:tcPr>
            <w:tcW w:w="1440" w:type="dxa"/>
            <w:vAlign w:val="bottom"/>
            <w:gridSpan w:val="2"/>
          </w:tcPr>
          <w:p>
            <w:pPr>
              <w:jc w:val="center"/>
              <w:ind w:left="56"/>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00" w:type="dxa"/>
            <w:vAlign w:val="bottom"/>
            <w:gridSpan w:val="2"/>
            <w:shd w:val="clear" w:color="auto" w:fill="CFF0FC"/>
          </w:tcPr>
          <w:p>
            <w:pPr>
              <w:jc w:val="center"/>
              <w:ind w:left="2310"/>
              <w:spacing w:after="0"/>
              <w:rPr>
                <w:sz w:val="20"/>
                <w:szCs w:val="20"/>
                <w:color w:val="auto"/>
              </w:rPr>
            </w:pPr>
            <w:r>
              <w:rPr>
                <w:rFonts w:ascii="Times New Roman" w:cs="Times New Roman" w:eastAsia="Times New Roman" w:hAnsi="Times New Roman"/>
                <w:sz w:val="18"/>
                <w:szCs w:val="18"/>
                <w:color w:val="auto"/>
                <w:w w:val="98"/>
              </w:rPr>
              <w:t>82.4%</w:t>
            </w:r>
          </w:p>
        </w:tc>
        <w:tc>
          <w:tcPr>
            <w:tcW w:w="1440" w:type="dxa"/>
            <w:vAlign w:val="bottom"/>
            <w:gridSpan w:val="2"/>
            <w:shd w:val="clear" w:color="auto" w:fill="CFF0FC"/>
          </w:tcPr>
          <w:p>
            <w:pPr>
              <w:jc w:val="center"/>
              <w:ind w:left="56"/>
              <w:spacing w:after="0"/>
              <w:rPr>
                <w:sz w:val="20"/>
                <w:szCs w:val="20"/>
                <w:color w:val="auto"/>
              </w:rPr>
            </w:pPr>
            <w:r>
              <w:rPr>
                <w:rFonts w:ascii="Times New Roman" w:cs="Times New Roman" w:eastAsia="Times New Roman" w:hAnsi="Times New Roman"/>
                <w:sz w:val="18"/>
                <w:szCs w:val="18"/>
                <w:color w:val="auto"/>
                <w:w w:val="98"/>
              </w:rPr>
              <w:t>82.5%</w:t>
            </w:r>
          </w:p>
        </w:tc>
        <w:tc>
          <w:tcPr>
            <w:tcW w:w="136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spacing w:after="0"/>
              <w:rPr>
                <w:sz w:val="20"/>
                <w:szCs w:val="20"/>
                <w:color w:val="auto"/>
              </w:rPr>
            </w:pPr>
          </w:p>
        </w:tc>
      </w:tr>
      <w:tr>
        <w:trPr>
          <w:trHeight w:val="900"/>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F-20</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2015 and 2017 Plans.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8"/>
        </w:trPr>
        <w:tc>
          <w:tcPr>
            <w:tcW w:w="4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4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56"/>
        </w:trPr>
        <w:tc>
          <w:tcPr>
            <w:tcW w:w="4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35"/>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intrinsic</w:t>
            </w:r>
          </w:p>
        </w:tc>
      </w:tr>
      <w:tr>
        <w:trPr>
          <w:trHeight w:val="195"/>
        </w:trPr>
        <w:tc>
          <w:tcPr>
            <w:tcW w:w="452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6"/>
                <w:szCs w:val="16"/>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4"/>
                <w:szCs w:val="14"/>
                <w:b w:val="1"/>
                <w:bCs w:val="1"/>
                <w:color w:val="auto"/>
                <w:w w:val="91"/>
              </w:rPr>
              <w:t xml:space="preserve">value </w:t>
            </w:r>
            <w:r>
              <w:rPr>
                <w:rFonts w:ascii="Times New Roman" w:cs="Times New Roman" w:eastAsia="Times New Roman" w:hAnsi="Times New Roman"/>
                <w:sz w:val="19"/>
                <w:szCs w:val="19"/>
                <w:b w:val="1"/>
                <w:bCs w:val="1"/>
                <w:color w:val="auto"/>
                <w:w w:val="91"/>
                <w:vertAlign w:val="superscript"/>
              </w:rPr>
              <w:t>(a)</w:t>
            </w:r>
          </w:p>
        </w:tc>
      </w:tr>
      <w:tr>
        <w:trPr>
          <w:trHeight w:val="187"/>
        </w:trPr>
        <w:tc>
          <w:tcPr>
            <w:tcW w:w="4520" w:type="dxa"/>
            <w:vAlign w:val="bottom"/>
          </w:tcPr>
          <w:p>
            <w:pPr>
              <w:spacing w:after="0"/>
              <w:rPr>
                <w:sz w:val="16"/>
                <w:szCs w:val="16"/>
                <w:color w:val="auto"/>
              </w:rPr>
            </w:pPr>
          </w:p>
        </w:tc>
        <w:tc>
          <w:tcPr>
            <w:tcW w:w="11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r>
      <w:tr>
        <w:trPr>
          <w:trHeight w:val="23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482,166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20"/>
                <w:szCs w:val="20"/>
                <w:color w:val="auto"/>
              </w:rPr>
            </w:pP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(174,415 )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612,761</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4"/>
        </w:trPr>
        <w:tc>
          <w:tcPr>
            <w:tcW w:w="4520" w:type="dxa"/>
            <w:vAlign w:val="bottom"/>
            <w:tcBorders>
              <w:top w:val="single" w:sz="8" w:color="CFF0FC"/>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8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r>
      <w:tr>
        <w:trPr>
          <w:trHeight w:val="24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or expected to vest at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612,761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shd w:val="clear" w:color="auto" w:fill="CFF0FC"/>
          </w:tcPr>
          <w:p>
            <w:pPr>
              <w:spacing w:after="0"/>
              <w:rPr>
                <w:sz w:val="21"/>
                <w:szCs w:val="2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311,199</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-482600</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-465455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-465455</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right="240" w:firstLine="8"/>
        <w:spacing w:after="0" w:line="254" w:lineRule="auto"/>
        <w:tabs>
          <w:tab w:leader="none" w:pos="161" w:val="left"/>
        </w:tabs>
        <w:numPr>
          <w:ilvl w:val="0"/>
          <w:numId w:val="6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aggregate intrinsic value is calculated as the difference between the exercise price of the options and the fair market value of the underlying common stock for the options that were in the money at December 31, 2023 and 2022. 512,972 and 12,364 options were in the money at December 31, 2023 and 2022, respectively.</w:t>
      </w:r>
    </w:p>
    <w:p>
      <w:pPr>
        <w:spacing w:after="0" w:line="19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of options granted during the years ended December 31, 2023 and 2022 was approximately $6.07 and $13.06, respectively. The total fair value of awards that vested during the years ended December 31, 2023 and 2022 was $2.5 million and $1.2 million, respectively.</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approximately $3.2 million of unrecognized share-based compensation for unvested stock option grants which is expected to be recognized over a weighted average period of 2.25 years. The total unrecognized share-based compensation cost will be adjusted for actual forfeitures as they occur.</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November 9, 2023, the Company’s board of directors approved a stock option repricing, which repriced certain outstanding stock options held by then current employees. There were 539,685 outstanding eligible stock options that were amended to reduce such exercise price to $1.85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 whereby the incremental fair value of each option was determined using the Black-Scholes option-pricing model at the date of the modification, and $0.2 million was recognized related to vested options as incremental equity-based compensation expense during the year ended December 31, 2023. The Company is recognizing the remaining $0.2 million of incremental equity-based compensation expense on a straight-line basis over the remaining requisite service period of the stock options.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2023 and 2022, 10,803 and 50,851 shares of restricted common stock were granted,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restricted common stock activity:</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r>
      <w:tr>
        <w:trPr>
          <w:trHeight w:val="131"/>
        </w:trPr>
        <w:tc>
          <w:tcPr>
            <w:tcW w:w="52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r>
      <w:tr>
        <w:trPr>
          <w:trHeight w:val="149"/>
        </w:trPr>
        <w:tc>
          <w:tcPr>
            <w:tcW w:w="5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5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5"/>
        </w:trPr>
        <w:tc>
          <w:tcPr>
            <w:tcW w:w="528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7"/>
        </w:trPr>
        <w:tc>
          <w:tcPr>
            <w:tcW w:w="528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80" w:type="dxa"/>
            <w:vAlign w:val="bottom"/>
            <w:shd w:val="clear" w:color="auto" w:fill="CFF0FC"/>
          </w:tcPr>
          <w:p>
            <w:pPr>
              <w:spacing w:after="0"/>
              <w:rPr>
                <w:sz w:val="20"/>
                <w:szCs w:val="20"/>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(14,643 )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(15,119 )</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tcPr>
          <w:p>
            <w:pPr>
              <w:spacing w:after="0"/>
              <w:rPr>
                <w:sz w:val="20"/>
                <w:szCs w:val="20"/>
                <w:color w:val="auto"/>
              </w:rPr>
            </w:pPr>
          </w:p>
        </w:tc>
      </w:tr>
      <w:tr>
        <w:trPr>
          <w:trHeight w:val="27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total fair value of shares that vested during the years ended December 31, 2023 and 2022 was $0.4 million and $0.2 million, respectively.</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approximately $0.6 million of unrecognized share-based compensation related to restricted stock awards granted, which is expected to be recognized over a weighted average period of 2.0 years. The total unrecognized share-based compensation cost will be adjusted for actual forfeitures as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ESPP is considered a compensatory plan with the related compensation expense recognized over the six-month offering periods. The compensation expense for the years ended December 31, 2023 and December 31, 2022 was less than $0.1 million in both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80" w:lineRule="exact"/>
        <w:rPr>
          <w:sz w:val="20"/>
          <w:szCs w:val="20"/>
          <w:color w:val="auto"/>
        </w:rPr>
      </w:pPr>
    </w:p>
    <w:p>
      <w:pPr>
        <w:jc w:val="both"/>
        <w:ind w:right="500" w:firstLine="509"/>
        <w:spacing w:after="0" w:line="236" w:lineRule="exact"/>
        <w:rPr>
          <w:sz w:val="20"/>
          <w:szCs w:val="20"/>
          <w:color w:val="auto"/>
        </w:rPr>
      </w:pPr>
      <w:r>
        <w:rPr>
          <w:rFonts w:ascii="Times New Roman" w:cs="Times New Roman" w:eastAsia="Times New Roman" w:hAnsi="Times New Roman"/>
          <w:sz w:val="18"/>
          <w:szCs w:val="18"/>
          <w:color w:val="auto"/>
        </w:rPr>
        <w:t>The Company has recorded total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$2.8 million and $3.6 million, during the years ended December 31, 2023 and 2022, respectively. Equity compensation during the years ended December 31, 2023 and 2022 is derived from stock options, restricted stock awards, and the ESPP.</w:t>
      </w:r>
    </w:p>
    <w:p>
      <w:pPr>
        <w:spacing w:after="0" w:line="158" w:lineRule="exact"/>
        <w:rPr>
          <w:sz w:val="20"/>
          <w:szCs w:val="20"/>
          <w:color w:val="auto"/>
        </w:rPr>
      </w:pPr>
    </w:p>
    <w:p>
      <w:pPr>
        <w:ind w:right="1060" w:firstLine="509"/>
        <w:spacing w:after="0" w:line="245"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within the Company’s consolidated statements of operations and comprehensive loss for the years ended December 31, 2023 and 2022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4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53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1,024</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shd w:val="clear" w:color="auto" w:fill="CFF0FC"/>
          </w:tcPr>
          <w:p>
            <w:pPr>
              <w:spacing w:after="0"/>
              <w:rPr>
                <w:sz w:val="20"/>
                <w:szCs w:val="20"/>
                <w:color w:val="auto"/>
              </w:rPr>
            </w:pP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1,782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80" w:type="dxa"/>
            <w:vAlign w:val="bottom"/>
          </w:tcPr>
          <w:p>
            <w:pPr>
              <w:spacing w:after="0"/>
              <w:rPr>
                <w:sz w:val="20"/>
                <w:szCs w:val="20"/>
                <w:color w:val="auto"/>
              </w:rPr>
            </w:pPr>
          </w:p>
        </w:tc>
      </w:tr>
      <w:tr>
        <w:trPr>
          <w:trHeight w:val="276"/>
        </w:trPr>
        <w:tc>
          <w:tcPr>
            <w:tcW w:w="53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2,806</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514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4" w:lineRule="exact"/>
        <w:rPr>
          <w:sz w:val="20"/>
          <w:szCs w:val="20"/>
          <w:color w:val="auto"/>
        </w:rPr>
      </w:pPr>
    </w:p>
    <w:p>
      <w:pPr>
        <w:ind w:right="640" w:firstLine="509"/>
        <w:spacing w:after="0" w:line="245"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type of award for the years ended December 31, 2023 and 2022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5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53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2,354</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7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0"/>
                <w:szCs w:val="20"/>
                <w:color w:val="auto"/>
              </w:rPr>
            </w:pPr>
          </w:p>
        </w:tc>
      </w:tr>
      <w:tr>
        <w:trPr>
          <w:trHeight w:val="24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7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spacing w:after="0"/>
              <w:rPr>
                <w:sz w:val="20"/>
                <w:szCs w:val="20"/>
                <w:color w:val="auto"/>
              </w:rPr>
            </w:pPr>
          </w:p>
        </w:tc>
        <w:tc>
          <w:tcPr>
            <w:tcW w:w="72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2,806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Collaboration</w:t>
      </w:r>
    </w:p>
    <w:p>
      <w:pPr>
        <w:spacing w:after="0" w:line="13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Biotics for addressing an undisclosed novel target for the treatment of inflammatory bowel disease (the Product Candidate).</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Roche Collaboration and Option Agreement, Roche agreed to pay the Company, an upfront, nonrefundable technology access fee of $1.0 million, which the Company received in July 2021. In addition, the Company was eligible to receive up to $5.0 million in milestone payments upon the achievement of certain success criteria. Following the research period, Roche holds an exclusive option right (the Option) to negotiate a definitive Collaboration and License Agreement (CLA) for further development and commercialization of the Product Candidate.</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Roche Collaboration and Option Agreement, during the term of such agreement, each party has granted to the other party a non-exclusive, non-transferrable, non-sublicensable, royalty-free right and license to certain intellectual property and know-how controlled by such party, solely as necessary for the party to perform its obligations under the Roche Collaboration and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Option Agreement. The parties will establish a Joint Research Committee (JRC) to oversee and manage the execution of the underlying study plan for the Roche Collaboration and Option Agreement.</w:t>
      </w:r>
    </w:p>
    <w:p>
      <w:pPr>
        <w:spacing w:after="0" w:line="18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Roche Collaboration and Option Agreement includes various representations, warranties, covenants, indemnities, and other customary provisions. Roche may terminate the Roche Collaboration and Option Agreement without cause immediately upon written notice where certain success criteria have been met for parts of the study plan, or upon ninety (90) days’ prior written notice to the Company. Either party may terminate the Roche Collaboration and Option Agreement in the event of an uncured material breach of the other party.</w:t>
      </w:r>
    </w:p>
    <w:p>
      <w:pPr>
        <w:spacing w:after="0" w:line="20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research and development was estimated to be performed by the Company for approximately two years according to three phases of research as defined in the research plan. The Company was eligible to receive milestone payments from Roche upon the achievement of success criteria for respective milestones.</w:t>
      </w:r>
    </w:p>
    <w:p>
      <w:pPr>
        <w:spacing w:after="0" w:line="20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assessed this arrangement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concluded that the contract counterparty, Roche, is a customer. The Company identified the following material promises made by the Company to Roche at the outset of the arrangement: (1) a non-exclusive royalty-free research and development license; (2) research and development services for pre-clinical activities under the research plan; (3) implicit renewal options created by Roche’s decision not to terminate the contract; (4) the Company’s participation on the JRC; and (5) an exclusive right to negotiate a definitive CLA for further development and commercialization of the Product Candidate. The Company determined that the license and research and development activities were not distinct from one another, as the license has limited value without the performance of research and development activities. The Company’s participation on the JRC was determined to be quantitatively and qualitatively immaterial and therefore is excluded from performance obligations. As such, the Company determined that the promises associated with the license and research and development services should be combined into a single performance obligation.</w:t>
      </w:r>
    </w:p>
    <w:p>
      <w:pPr>
        <w:spacing w:after="0" w:line="2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next evaluated the milestone payments relating to the three phases of research as defined in the research plan and the option to negotiate and enter into the CLA, to determine whether they provide Roche with any material rights. The Company concluded that the option was not issued at a significant and incremental discount, and therefore do not provide material rights. As such, they were excluded as performance obligations at the outset of the arrangement. If Roche elects to exercise the options, the additional consideration will be added to the transaction price and allocated to the resulting performance obligations.</w:t>
      </w:r>
    </w:p>
    <w:p>
      <w:pPr>
        <w:spacing w:after="0" w:line="21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Based on these assessments, the Company identified one performance obligation at the outset of the Roche Collaboration and Option Agreement, which consists of: (1) the non-exclusive license and (2) the research and development activities.</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At the outset of the arrangement, the transaction price included only the $1.0 million up-front consideration received and which was allocated to the single performance obligation. The milestone payments that may be received are excluded from the transaction price until each respective milestone has been achieved. The Company will reevaluate the transaction price at the end of each reporting period and as uncertain events are resolved or other changes in circumstances occur, and, if necessary, adjust its estimate of the transaction price.</w:t>
      </w:r>
    </w:p>
    <w:p>
      <w:pPr>
        <w:spacing w:after="0" w:line="20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2021, the Company began work on the research and development services for the first phase of the research plan and the $1.0 million upfront payment was recognized over the time of the first phase of the research plan. In September 2021, the Company completed the research and development services for the first phase of the research plan and achieved a milestone payment of $1.0 million, which was paid by Roche in November 2021. At this time, the milestone payment was allocated to a new performance obligation consisting of the underlying research and development services to be performed over the second phase of the research plan. In August 2022, the Company completed the research and development services for the second phase of the research plan and achieved a milestone payment of $1.5 million, which was paid by Roche in October 2022. At this time, the milestone payment was allocated to a new performance obligation consisting of the underlying research and development services to be performed over the third phase of the research plan. Upon the Company’s completion of these activities and subject to Roche’s termination right, the additional milestone payments based on the achievement of specific events outlined in the Roche Collaboration and Option Agreement will become due.</w:t>
      </w:r>
    </w:p>
    <w:p>
      <w:pPr>
        <w:spacing w:after="0" w:line="188"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In October 2023, the Company achieved its third pre-specified research milestone under the terms of the Roche Collaboration and Option Agreement and earned a third milestone payment of $2.5 million, which was paid by Roche in December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Revenue associated with performance obligations under the Roche Collaboration and Option Agreement are recognized as the research and development services are provided using an input method, according to the full-time equivalents incurred.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20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recognized $3.4 million and $1.2 million for the years ended December 31, 2023 and 2022, respectively, as collaboration revenue in the Company’s consolidated statements of operations and comprehensive loss. There was no deferred revenue from the collaboration as of December 31, 2023. The Roche Collaboration and Option Agreement concluded after the last milestone was achieved by the Company in October 2023. Subsequently, Roche did not exercise its exclusive option to enter into a licensing and collaboration agreement for further development and commercialization of the product candidate.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Ginkgo Collaboration</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2017, the Company established a technology collaboration with Ginkgo. In June 2019, in connection with the issuance to Ginkgo of an aggregate of 422,718 shares of common stock and Pre-Funded Warrants to purchase an aggregate of 169,874 common stock (See Note 8), the Company expanded its collaboration and entered into an agreement with Ginkgo for the research and development of engineered microbial therapeutic products. Under the 2019 expanded agreement, the Company made a prepayment to Ginkgo of $30.0 million for its foundry services that will be provided to the Company over an initial term of five years. The current and non-current balances relating to the prepayment of foundry services is recorded in prepaid expenses and other current assets and prepaid research and development, net of current portion, respectively, on the December 31, 2023 consolidated balance sheet. At December 31, 2023, the Company had remaining balances of $0.3 million and $4.9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292"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for share and per share amounts):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(57,282 )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(66,147 )</w:t>
            </w: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6,502,279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4,781,696</w:t>
            </w:r>
          </w:p>
        </w:tc>
        <w:tc>
          <w:tcPr>
            <w:tcW w:w="8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(13.83 )</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-25400</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03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shares, which include purchase warrants,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76" w:lineRule="exact"/>
        <w:rPr>
          <w:sz w:val="20"/>
          <w:szCs w:val="20"/>
          <w:color w:val="auto"/>
        </w:rPr>
      </w:pPr>
    </w:p>
    <w:p>
      <w:pPr>
        <w:ind w:right="380" w:firstLine="509"/>
        <w:spacing w:after="0" w:line="312" w:lineRule="auto"/>
        <w:rPr>
          <w:sz w:val="20"/>
          <w:szCs w:val="20"/>
          <w:color w:val="auto"/>
        </w:rPr>
      </w:pPr>
      <w:r>
        <w:rPr>
          <w:rFonts w:ascii="Times New Roman" w:cs="Times New Roman" w:eastAsia="Times New Roman" w:hAnsi="Times New Roman"/>
          <w:sz w:val="17"/>
          <w:szCs w:val="17"/>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20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13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4"/>
                <w:szCs w:val="14"/>
                <w:color w:val="auto"/>
              </w:rPr>
            </w:pPr>
          </w:p>
        </w:tc>
      </w:tr>
      <w:tr>
        <w:trPr>
          <w:trHeight w:val="23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warrants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3,921,928</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612,761</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482,166</w:t>
            </w:r>
          </w:p>
        </w:tc>
        <w:tc>
          <w:tcPr>
            <w:tcW w:w="80" w:type="dxa"/>
            <w:vAlign w:val="bottom"/>
            <w:shd w:val="clear" w:color="auto" w:fill="CFF0FC"/>
          </w:tcPr>
          <w:p>
            <w:pPr>
              <w:spacing w:after="0"/>
              <w:rPr>
                <w:sz w:val="21"/>
                <w:szCs w:val="21"/>
                <w:color w:val="auto"/>
              </w:rPr>
            </w:pP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Potential shares issuable under the ESPP</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19,751</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tcPr>
          <w:p>
            <w:pPr>
              <w:spacing w:after="0"/>
              <w:rPr>
                <w:sz w:val="20"/>
                <w:szCs w:val="20"/>
                <w:color w:val="auto"/>
              </w:rPr>
            </w:pPr>
          </w:p>
        </w:tc>
      </w:tr>
    </w:tbl>
    <w:p>
      <w:pPr>
        <w:spacing w:after="0" w:line="351"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4" w:name="page125"/>
    <w:bookmarkEnd w:id="12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recorded no income tax benefits for the net operating losses incurred due to its uncertainty of reclaiming a benefit for those losses.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taxes are recognized for temporary differences between the basis of assets and liabilities for financial statement and income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consist of the following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87,396</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80" w:type="dxa"/>
            <w:vAlign w:val="bottom"/>
          </w:tcPr>
          <w:p>
            <w:pPr>
              <w:spacing w:after="0"/>
              <w:rPr>
                <w:sz w:val="20"/>
                <w:szCs w:val="20"/>
                <w:color w:val="auto"/>
              </w:rPr>
            </w:pPr>
          </w:p>
        </w:tc>
      </w:tr>
      <w:tr>
        <w:trPr>
          <w:trHeight w:val="247"/>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80" w:type="dxa"/>
            <w:vAlign w:val="bottom"/>
            <w:shd w:val="clear" w:color="auto" w:fill="CFF0FC"/>
          </w:tcPr>
          <w:p>
            <w:pPr>
              <w:spacing w:after="0"/>
              <w:rPr>
                <w:sz w:val="21"/>
                <w:szCs w:val="21"/>
                <w:color w:val="auto"/>
              </w:rPr>
            </w:pPr>
          </w:p>
        </w:tc>
      </w:tr>
      <w:tr>
        <w:trPr>
          <w:trHeight w:val="23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0"/>
                <w:szCs w:val="20"/>
                <w:color w:val="auto"/>
              </w:rPr>
            </w:pPr>
          </w:p>
        </w:tc>
      </w:tr>
      <w:tr>
        <w:trPr>
          <w:trHeight w:val="247"/>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FF0FC"/>
          </w:tcPr>
          <w:p>
            <w:pPr>
              <w:spacing w:after="0"/>
              <w:rPr>
                <w:sz w:val="21"/>
                <w:szCs w:val="21"/>
                <w:color w:val="auto"/>
              </w:rPr>
            </w:pPr>
          </w:p>
        </w:tc>
      </w:tr>
      <w:tr>
        <w:trPr>
          <w:trHeight w:val="23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80" w:type="dxa"/>
            <w:vAlign w:val="bottom"/>
          </w:tcPr>
          <w:p>
            <w:pPr>
              <w:spacing w:after="0"/>
              <w:rPr>
                <w:sz w:val="20"/>
                <w:szCs w:val="20"/>
                <w:color w:val="auto"/>
              </w:rPr>
            </w:pPr>
          </w:p>
        </w:tc>
      </w:tr>
      <w:tr>
        <w:trPr>
          <w:trHeight w:val="247"/>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compensation</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shd w:val="clear" w:color="auto" w:fill="CFF0FC"/>
          </w:tcPr>
          <w:p>
            <w:pPr>
              <w:spacing w:after="0"/>
              <w:rPr>
                <w:sz w:val="21"/>
                <w:szCs w:val="21"/>
                <w:color w:val="auto"/>
              </w:rPr>
            </w:pPr>
          </w:p>
        </w:tc>
      </w:tr>
      <w:tr>
        <w:trPr>
          <w:trHeight w:val="23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Amortizable intangibles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20"/>
                <w:szCs w:val="20"/>
                <w:color w:val="auto"/>
              </w:rPr>
            </w:pPr>
          </w:p>
        </w:tc>
      </w:tr>
      <w:tr>
        <w:trPr>
          <w:trHeight w:val="247"/>
        </w:trPr>
        <w:tc>
          <w:tcPr>
            <w:tcW w:w="6160" w:type="dxa"/>
            <w:vAlign w:val="bottom"/>
            <w:shd w:val="clear" w:color="auto" w:fill="CFF0FC"/>
          </w:tcPr>
          <w:p>
            <w:pPr>
              <w:ind w:left="180"/>
              <w:spacing w:after="0" w:line="248" w:lineRule="exact"/>
              <w:rPr>
                <w:sz w:val="20"/>
                <w:szCs w:val="20"/>
                <w:color w:val="auto"/>
              </w:rPr>
            </w:pPr>
            <w:r>
              <w:rPr>
                <w:rFonts w:ascii="Times New Roman" w:cs="Times New Roman" w:eastAsia="Times New Roman" w:hAnsi="Times New Roman"/>
                <w:sz w:val="18"/>
                <w:szCs w:val="18"/>
                <w:color w:val="auto"/>
              </w:rPr>
              <w:t xml:space="preserve">Amortizable research expenditures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shd w:val="clear" w:color="auto" w:fill="CFF0FC"/>
          </w:tcPr>
          <w:p>
            <w:pPr>
              <w:spacing w:after="0"/>
              <w:rPr>
                <w:sz w:val="21"/>
                <w:szCs w:val="21"/>
                <w:color w:val="auto"/>
              </w:rPr>
            </w:pPr>
          </w:p>
        </w:tc>
      </w:tr>
      <w:tr>
        <w:trPr>
          <w:trHeight w:val="23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20"/>
                <w:szCs w:val="20"/>
                <w:color w:val="auto"/>
              </w:rPr>
            </w:pPr>
          </w:p>
        </w:tc>
      </w:tr>
      <w:tr>
        <w:trPr>
          <w:trHeight w:val="241"/>
        </w:trPr>
        <w:tc>
          <w:tcPr>
            <w:tcW w:w="6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128,361</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113,521</w:t>
            </w:r>
          </w:p>
        </w:tc>
        <w:tc>
          <w:tcPr>
            <w:tcW w:w="80" w:type="dxa"/>
            <w:vAlign w:val="bottom"/>
            <w:shd w:val="clear" w:color="auto" w:fill="CFF0FC"/>
          </w:tcPr>
          <w:p>
            <w:pPr>
              <w:spacing w:after="0"/>
              <w:rPr>
                <w:sz w:val="20"/>
                <w:szCs w:val="20"/>
                <w:color w:val="auto"/>
              </w:rPr>
            </w:pPr>
          </w:p>
        </w:tc>
      </w:tr>
      <w:tr>
        <w:trPr>
          <w:trHeight w:val="23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(3,306 )</w:t>
            </w:r>
          </w:p>
        </w:tc>
        <w:tc>
          <w:tcPr>
            <w:tcW w:w="3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(3,922 )</w:t>
            </w:r>
          </w:p>
        </w:tc>
      </w:tr>
      <w:tr>
        <w:trPr>
          <w:trHeight w:val="20"/>
        </w:trPr>
        <w:tc>
          <w:tcPr>
            <w:tcW w:w="6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(3,306 )</w:t>
            </w:r>
          </w:p>
        </w:tc>
        <w:tc>
          <w:tcPr>
            <w:tcW w:w="3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(3,922 )</w:t>
            </w:r>
          </w:p>
        </w:tc>
      </w:tr>
      <w:tr>
        <w:trPr>
          <w:trHeight w:val="24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(125,055 )</w:t>
            </w:r>
          </w:p>
        </w:tc>
        <w:tc>
          <w:tcPr>
            <w:tcW w:w="3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(109,599 )</w:t>
            </w:r>
          </w:p>
        </w:tc>
      </w:tr>
      <w:tr>
        <w:trPr>
          <w:trHeight w:val="236"/>
        </w:trPr>
        <w:tc>
          <w:tcPr>
            <w:tcW w:w="61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-505460</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-187960</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6" w:lineRule="exact"/>
        <w:rPr>
          <w:sz w:val="20"/>
          <w:szCs w:val="20"/>
          <w:color w:val="auto"/>
        </w:rPr>
      </w:pPr>
    </w:p>
    <w:p>
      <w:pPr>
        <w:ind w:left="520" w:right="80" w:hanging="3"/>
        <w:spacing w:after="0" w:line="231" w:lineRule="auto"/>
        <w:tabs>
          <w:tab w:leader="none" w:pos="696"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Under the Tax Cuts and Jobs Act (TCJA), research and experimental (R&amp;D) expenditures are capitalized and amortized under section 174 for tax years beginning after December 31, 2021. These costs are amortized for tax purposes over 5 years since the R&amp;D was performed in the U.S. The unamortized balance of these costs is presented as a deferred tax asset in the table above.</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the Company’s deferred tax assets, which are comprised principally of net operating loss carryforwards, and determined that it is more likely than not that the Company will not recognize the benefits of the deferred tax assets. As a result, a full valuation allowance of approximately $125.1 million and $109.6 million was established at December 31, 2023 and 2022,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income tax rate is as follows:</w:t>
      </w:r>
    </w:p>
    <w:p>
      <w:pPr>
        <w:spacing w:after="0" w:line="23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1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6120" w:type="dxa"/>
            <w:vAlign w:val="bottom"/>
          </w:tcPr>
          <w:p>
            <w:pPr>
              <w:spacing w:after="0"/>
              <w:rPr>
                <w:sz w:val="14"/>
                <w:szCs w:val="14"/>
                <w:color w:val="auto"/>
              </w:rPr>
            </w:pPr>
          </w:p>
        </w:tc>
        <w:tc>
          <w:tcPr>
            <w:tcW w:w="9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8"/>
              </w:rPr>
              <w:t>Tax Rate</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Tax Rate</w:t>
            </w:r>
          </w:p>
        </w:tc>
        <w:tc>
          <w:tcPr>
            <w:tcW w:w="220" w:type="dxa"/>
            <w:vAlign w:val="bottom"/>
            <w:gridSpan w:val="2"/>
          </w:tcPr>
          <w:p>
            <w:pPr>
              <w:spacing w:after="0"/>
              <w:rPr>
                <w:sz w:val="14"/>
                <w:szCs w:val="14"/>
                <w:color w:val="auto"/>
              </w:rPr>
            </w:pPr>
          </w:p>
        </w:tc>
      </w:tr>
      <w:tr>
        <w:trPr>
          <w:trHeight w:val="22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items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21"/>
                <w:szCs w:val="21"/>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r>
      <w:tr>
        <w:trPr>
          <w:trHeight w:val="25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980" w:type="dxa"/>
            <w:vAlign w:val="bottom"/>
          </w:tcPr>
          <w:p>
            <w:pPr>
              <w:spacing w:after="0"/>
              <w:rPr>
                <w:sz w:val="21"/>
                <w:szCs w:val="21"/>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9"/>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8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-1113790</wp:posOffset>
            </wp:positionV>
            <wp:extent cx="5700395"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-805180</wp:posOffset>
            </wp:positionV>
            <wp:extent cx="5700395"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the valuation allowance for the years ended December 31, 2023 and 2022 is as follows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61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(109,599 )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(90,477 )</w:t>
            </w:r>
          </w:p>
        </w:tc>
      </w:tr>
      <w:tr>
        <w:trPr>
          <w:trHeight w:val="23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(15,456 )</w:t>
            </w:r>
          </w:p>
        </w:tc>
        <w:tc>
          <w:tcPr>
            <w:tcW w:w="3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(19,122 )</w:t>
            </w:r>
          </w:p>
        </w:tc>
      </w:tr>
      <w:tr>
        <w:trPr>
          <w:trHeight w:val="20"/>
        </w:trPr>
        <w:tc>
          <w:tcPr>
            <w:tcW w:w="6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(125,055 )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(109,599 )</w:t>
            </w: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-25400</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03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type w:val="continuous"/>
        </w:sectPr>
      </w:pPr>
    </w:p>
    <w:bookmarkStart w:id="125" w:name="page126"/>
    <w:bookmarkEnd w:id="1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that may be available to reduce future taxable income of $323.5 million. Of the $323.5 million of federal net operating loss carryforwards, $79.4 million will expire on various dates from 2034 to 2037. The remaining $244.1 million of federal net operating loss carryforwards do not expire. The Company also had state net operating loss carryforwards that may be available to reduce future taxable income of $308.0 million for the period ended December 31, 2023. The state net operating loss carryforwards begin to expire in 2029. In addition, as of December 31, 2023, the Company had federal and state research and development tax credit carryforwards available to reduce future tax liabilities of $7.1 million and $4.2 million, respectively.</w:t>
      </w:r>
    </w:p>
    <w:p>
      <w:pPr>
        <w:spacing w:after="0" w:line="21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into law which contained provisions that include a 15% corporate minimum tax effective for taxable years beginning after December 31, 2022 and a 1% excise tax on certain stock buybacks after December 31, 2022. The Company expects the impact of these provisions to be immaterial.</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Pursuant to Section 382 of the Internal Revenue Code of 1986 (IRC), certain substantial changes in the Company’s ownership may result in a limitation on the amount of net operating loss (NOL) carryforwards and research and development credit (R&amp;D credit) carryforwards that may be used in future years. Utilization of the NOL and R&amp;D credit carryforwards may be subject to a substantial annual limitation under Section 382 of the IRC due to ownership change limitations that have occurred previously or that could occur in the future. These ownership changes may limit the amount of NOL and R&amp;D credit carryforwards that can be utilized annually to offset future taxable income and tax. The Company has not completed a study to assess whether an ownership change has occurred, or whether there have been multiple ownership changes since its formation, due to the significant complexity and related costs associated with such a study. There could be additional ownership changes in the future that may result in additional limitations on the utilization of NOL carryforwards and credits.</w:t>
      </w:r>
    </w:p>
    <w:p>
      <w:pPr>
        <w:spacing w:after="0" w:line="19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is required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The Company has not recognized any liability for unrecognized tax benefits as of December 31, 2023. The Company’s policy is to record interest and penalties related to unrecognized tax benefits on the income tax expense line in the consolidated statement of operations. There are no interest or penalties accrued at December 31, 2023 and 2022.</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files tax returns, on an entity-level basis, as prescribed by the tax laws of the jurisdictions in which it operates. In the normal course of business, the Company is subject to examination by federal and state jurisdictions, where applicable. There are currently no pending tax examinations. Tax years from 2020 to the present are open to examination under the statute. The Company’s net operating losses and other attributes generated in a closed tax year may still be adjusted to determine the amount of carryforward deduction available in an open year under examination.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Repurchase</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November 25, 2022, the Company entered into a definitive share repurchase agreement with a stockholder, as part of a privately negotiated transaction, to repurchase 279,792 shares of common stock held by them for an aggregate purchase price of $2.5 million, or $9.00 per share. This repurchase was completed on November 28, 2022.</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Repurchased shares are held as treasury stock at cost until they are retired or re-issued. There were no retirements or re-issuances of treasury stock during the year ended December 31, 2023.</w:t>
      </w:r>
    </w:p>
    <w:p>
      <w:pPr>
        <w:spacing w:after="0" w:line="266"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July 2017, the Company entered into an agreement to lease approximately 41,346 square feet of laboratory and office space at 301 Binney Street in Cambridge, Massachusetts. Annual rent is approximately $3.4 million. The ten-year lease commenced in January 2018 and contains provisions for a free-rent period, annual rent increases and an allowance for tenant improvements. The Company is responsible for real estate taxes, maintenance, and other operating expenses applicable to the leased premises. The Company has paid for tenant improvements of approximately $2.9 million. Additionally, the Company has capitalized approximately $6.6 million of landlord-funded tenant improvements. The Company was deemed to be the accounting owner of the tenant improvements primarily because it was responsible for project cost overruns, and as such, the amounts were recorded as a leasehold improvement. The landlord-funded tenant improvement allowance is being amortized as a reduction to lease expense ratably over the lease term. In conjunction with the lease, the Company established a letter of credit of approximately $1.0 million secured by cash balances included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in restricted cash. Variable payments based on our portion of the operating expenses, including real estate taxes and insurance, are recorded as a period expense when incurred. The Company has an option to extend the term by five years and an option to terminate the agreement if a similar agreement is executed with the landlord or an affiliate of the landlord. Neither option is reasonably certain of exercise and both are excluded from the lease liability calculation.</w:t>
      </w:r>
    </w:p>
    <w:p>
      <w:pPr>
        <w:spacing w:after="0" w:line="18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2018, the Company entered into an agreement (the First SOW) with Azzur Group, LLC (Azzur) whereby Azzur agreed to provide the Company with access to, and the use of, an approximately 700 square foot cleanroom space to be constructed in Waltham, Massachusetts (the Azzur Suite), for a period of 44 months, from May 1, 2019 to December 31, 2022 (the Initial Term). In April 2021, Synlogic entered into a new agreement (the Second SOW) with Azzur which replaced the First SOW. Pursuant to the Second SOW, Synlogic was granted access to, and use of, the Azzur Suite for a period of 20 months, from May 2021 to December 2022 (the Second Term). On January 21, 2022, the Company entered into two agreements with Azzur. Pursuant to the first of the agreements (the Third SOW), the Company has agreed to pay Azzur $0.7 million to renovate and upgrade the cleanroom space at Azzur for the Company’s expanded use. The second of the agreements (the Fourth SOW) replaces the Second SOW that the Company entered into with Azzur in April 2021. The Fourth SOW extends the term of the lease, for the period beginning January 2022 through March 2023 (the Third Term). In November 2022, the Company entered into a new agreement (the Fifth SOW) with Azzur that extended the term of the lease, for the period beginning April 2023 through December 2023 (the Fourth Term). The Fifth SOW contains two options to extend the lease, the first option goes through June 2024, and the second option goes through December 2024. The Company determined that the agreement contained an embedded lease because the Company controls the use of the Azzur Suite. Accordingly, the fixed and in-substance fixed consideration under the agreement was used to measure the ROU asset and lease liability at the effective date. In December 2023, the Company signed an addendum to exercise the First and Second Option to extend the lease as part of the Fifth SOW discussed above. Part of the addendum agreed to new payment terms that supersede the terms per the Fifth SOW with Azzur. The ROU asset and lease liability are subsequently remeasured to reflect the impact of each subsequent modification.</w:t>
      </w:r>
    </w:p>
    <w:p>
      <w:pPr>
        <w:spacing w:after="0" w:line="19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Leases classified as operating leases are included in operating lease ROU assets, current operating lease liabilities and noncurrent operating lease liabilities in our consolidated balance sheets. The operating lease right-of-use asset and operating lease liability represents the Binney Street lease and the Azzur Suite lease. Cash paid for amounts included in the present value of operating lease liabilities was $5.6 and $5.5 million during the years ended December 31, 2023 and 2022, respectively, which is included in operating cash flows.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operating leases for the years ended December 31, 2023 and 2022 were (in thousands):</w:t>
      </w:r>
    </w:p>
    <w:p>
      <w:pPr>
        <w:spacing w:after="0" w:line="300" w:lineRule="exact"/>
        <w:rPr>
          <w:sz w:val="20"/>
          <w:szCs w:val="20"/>
          <w:color w:val="auto"/>
        </w:rPr>
      </w:pPr>
    </w:p>
    <w:tbl>
      <w:tblPr>
        <w:tblLayout w:type="fixed"/>
        <w:tblInd w:w="2260" w:type="dxa"/>
        <w:tblCellMar>
          <w:top w:w="0" w:type="dxa"/>
          <w:left w:w="0" w:type="dxa"/>
          <w:bottom w:w="0" w:type="dxa"/>
          <w:right w:w="0" w:type="dxa"/>
        </w:tblCellMar>
      </w:tblPr>
      <w:tr>
        <w:trPr>
          <w:trHeight w:val="190"/>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80" w:type="dxa"/>
            <w:vAlign w:val="bottom"/>
          </w:tcPr>
          <w:p>
            <w:pPr>
              <w:spacing w:after="0"/>
              <w:rPr>
                <w:sz w:val="16"/>
                <w:szCs w:val="16"/>
                <w:color w:val="auto"/>
              </w:rPr>
            </w:pPr>
          </w:p>
        </w:tc>
        <w:tc>
          <w:tcPr>
            <w:tcW w:w="3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26"/>
        </w:trPr>
        <w:tc>
          <w:tcPr>
            <w:tcW w:w="3360" w:type="dxa"/>
            <w:vAlign w:val="bottom"/>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right-of-use asset for the operating lease is disclosed on the consolidated balance sheets.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operating leases were: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6"/>
        </w:trPr>
        <w:tc>
          <w:tcPr>
            <w:tcW w:w="55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9"/>
                <w:szCs w:val="19"/>
                <w:color w:val="auto"/>
              </w:rPr>
            </w:pPr>
          </w:p>
        </w:tc>
      </w:tr>
      <w:tr>
        <w:trPr>
          <w:trHeight w:val="228"/>
        </w:trPr>
        <w:tc>
          <w:tcPr>
            <w:tcW w:w="7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8.3 %</w:t>
            </w:r>
          </w:p>
        </w:tc>
        <w:tc>
          <w:tcPr>
            <w:tcW w:w="800" w:type="dxa"/>
            <w:vAlign w:val="bottom"/>
          </w:tcPr>
          <w:p>
            <w:pPr>
              <w:spacing w:after="0"/>
              <w:rPr>
                <w:sz w:val="19"/>
                <w:szCs w:val="19"/>
                <w:color w:val="auto"/>
              </w:rPr>
            </w:pPr>
          </w:p>
        </w:tc>
        <w:tc>
          <w:tcPr>
            <w:tcW w:w="20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8.3 %</w:t>
            </w:r>
          </w:p>
        </w:tc>
      </w:tr>
      <w:tr>
        <w:trPr>
          <w:trHeight w:val="238"/>
        </w:trPr>
        <w:tc>
          <w:tcPr>
            <w:tcW w:w="7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4.2</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7"/>
              </w:rPr>
              <w:t>5.1</w:t>
            </w:r>
          </w:p>
        </w:tc>
        <w:tc>
          <w:tcPr>
            <w:tcW w:w="660" w:type="dxa"/>
            <w:vAlign w:val="bottom"/>
          </w:tcPr>
          <w:p>
            <w:pPr>
              <w:spacing w:after="0"/>
              <w:rPr>
                <w:sz w:val="20"/>
                <w:szCs w:val="20"/>
                <w:color w:val="auto"/>
              </w:rPr>
            </w:pPr>
          </w:p>
        </w:tc>
      </w:tr>
      <w:tr>
        <w:trPr>
          <w:trHeight w:val="661"/>
        </w:trPr>
        <w:tc>
          <w:tcPr>
            <w:tcW w:w="70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F-27</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36"/>
        </w:trPr>
        <w:tc>
          <w:tcPr>
            <w:tcW w:w="55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-1199515</wp:posOffset>
            </wp:positionV>
            <wp:extent cx="641223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the operating leases at December 31, 2023 to the operating lease liabilities recorded on the balance sheet: December 31, 2023</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620" w:type="dxa"/>
            <w:vAlign w:val="bottom"/>
          </w:tcPr>
          <w:p>
            <w:pPr>
              <w:spacing w:after="0"/>
              <w:rPr>
                <w:sz w:val="16"/>
                <w:szCs w:val="16"/>
                <w:color w:val="auto"/>
              </w:rPr>
            </w:pP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69"/>
        </w:trPr>
        <w:tc>
          <w:tcPr>
            <w:tcW w:w="6680" w:type="dxa"/>
            <w:vAlign w:val="bottom"/>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700" w:type="dxa"/>
            <w:vAlign w:val="bottom"/>
            <w:tcBorders>
              <w:top w:val="single" w:sz="8" w:color="auto"/>
              <w:bottom w:val="single" w:sz="8" w:color="auto"/>
            </w:tcBorders>
          </w:tcPr>
          <w:p>
            <w:pPr>
              <w:jc w:val="right"/>
              <w:ind w:right="11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3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shd w:val="clear" w:color="auto" w:fill="CFF0FC"/>
          </w:tcPr>
          <w:p>
            <w:pPr>
              <w:spacing w:after="0"/>
              <w:rPr>
                <w:sz w:val="20"/>
                <w:szCs w:val="20"/>
                <w:color w:val="auto"/>
              </w:rPr>
            </w:pPr>
          </w:p>
        </w:tc>
      </w:tr>
      <w:tr>
        <w:trPr>
          <w:trHeight w:val="23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FF0FC"/>
          </w:tcPr>
          <w:p>
            <w:pPr>
              <w:spacing w:after="0"/>
              <w:rPr>
                <w:sz w:val="21"/>
                <w:szCs w:val="21"/>
                <w:color w:val="auto"/>
              </w:rPr>
            </w:pP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CFF0FC"/>
          </w:tcPr>
          <w:p>
            <w:pPr>
              <w:spacing w:after="0"/>
              <w:rPr>
                <w:sz w:val="21"/>
                <w:szCs w:val="21"/>
                <w:color w:val="auto"/>
              </w:rPr>
            </w:pP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20"/>
                <w:szCs w:val="20"/>
                <w:color w:val="auto"/>
              </w:rPr>
            </w:pPr>
          </w:p>
        </w:tc>
        <w:tc>
          <w:tcPr>
            <w:tcW w:w="2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620" w:type="dxa"/>
            <w:vAlign w:val="bottom"/>
            <w:tcBorders>
              <w:top w:val="single" w:sz="8" w:color="auto"/>
            </w:tcBorders>
            <w:shd w:val="clear" w:color="auto" w:fill="CFF0FC"/>
          </w:tcPr>
          <w:p>
            <w:pPr>
              <w:spacing w:after="0"/>
              <w:rPr>
                <w:sz w:val="20"/>
                <w:szCs w:val="20"/>
                <w:color w:val="auto"/>
              </w:rPr>
            </w:pPr>
          </w:p>
        </w:tc>
        <w:tc>
          <w:tcPr>
            <w:tcW w:w="2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100" w:type="dxa"/>
            <w:vAlign w:val="bottom"/>
            <w:shd w:val="clear" w:color="auto" w:fill="CFF0FC"/>
          </w:tcPr>
          <w:p>
            <w:pPr>
              <w:spacing w:after="0"/>
              <w:rPr>
                <w:sz w:val="20"/>
                <w:szCs w:val="20"/>
                <w:color w:val="auto"/>
              </w:rPr>
            </w:pPr>
          </w:p>
        </w:tc>
      </w:tr>
      <w:tr>
        <w:trPr>
          <w:trHeight w:val="23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20"/>
                <w:szCs w:val="20"/>
                <w:color w:val="auto"/>
              </w:rPr>
            </w:pPr>
          </w:p>
        </w:tc>
      </w:tr>
      <w:tr>
        <w:trPr>
          <w:trHeight w:val="241"/>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shd w:val="clear" w:color="auto" w:fill="CFF0FC"/>
          </w:tcPr>
          <w:p>
            <w:pPr>
              <w:spacing w:after="0"/>
              <w:rPr>
                <w:sz w:val="20"/>
                <w:szCs w:val="20"/>
                <w:color w:val="auto"/>
              </w:rPr>
            </w:pPr>
          </w:p>
        </w:tc>
      </w:tr>
      <w:tr>
        <w:trPr>
          <w:trHeight w:val="23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62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20" w:type="dxa"/>
            <w:vAlign w:val="bottom"/>
            <w:shd w:val="clear" w:color="auto" w:fill="CFF0FC"/>
          </w:tcPr>
          <w:p>
            <w:pPr>
              <w:spacing w:after="0"/>
              <w:rPr>
                <w:sz w:val="21"/>
                <w:szCs w:val="21"/>
                <w:color w:val="auto"/>
              </w:rPr>
            </w:pP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shd w:val="clear" w:color="auto" w:fill="CFF0FC"/>
          </w:tcPr>
          <w:p>
            <w:pPr>
              <w:spacing w:after="0"/>
              <w:rPr>
                <w:sz w:val="21"/>
                <w:szCs w:val="21"/>
                <w:color w:val="auto"/>
              </w:rPr>
            </w:pPr>
          </w:p>
        </w:tc>
      </w:tr>
    </w:tbl>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lease cost for finance leases during the years ended December 31, 2023 and 2022, and the finance lease liability at December 31, 2023, were not material.</w:t>
      </w:r>
    </w:p>
    <w:p>
      <w:pPr>
        <w:spacing w:after="0" w:line="266"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84"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a defined contribution 401(k) plan for eligible employees. Employees are eligible to participate in the plan beginning on their date of hire. Under the terms of the plan, employees may make voluntary contributions as a percentage of compensation. The Company started to match employee contributions effective January 1, 2019. The Company matched 50% of the employee contributions to the 401(k) plan up to a maximum of 4% of the participating employee’s eligible earnings, resulting in a maximum company match of 2% of the participating employee’s eligible earnings, and subject to certain additional statutory dollar limitations. In 2021, the Company increased the match to 50% of the employee contributions up to a maximum of 6% of the participating employee’s eligible earnings, resulting in a maximum company match of 3% of the participating employee’s eligible earnings, and subject to certain additional statutory dollar limitations. For the years ended December 31, 2023 and 2022, the Company made $0.3 million and $0.5 million contributions to the plan, respectively.</w:t>
      </w:r>
    </w:p>
    <w:p>
      <w:pPr>
        <w:spacing w:after="0" w:line="296"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June 2019, the Company expanded its collaboration and entered into an agreement with Ginkgo for the research and development of engineered microbial therapeutic products. As of December 31, 2023, Ginkgo owns 422,718 shares of the Company’s outstanding common stock. See Note 10, Collaboration Agreements: Ginkgo Collaboration.</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Under the agreement the Company made a prepayment to Ginkgo of $30.0 million for its foundry services that will be provided to the Company over an initial term of five years. At December 31, 2023, the Company had remaining balances of $0.3 million and $4.9 million of current and non-current pre-paid research and development costs related to this transaction, respectively. For the year ended December 31, 2023, the Company used $3.1 million of the pre-paid research and development expense</w:t>
      </w:r>
      <w:r>
        <w:rPr>
          <w:rFonts w:ascii="Times New Roman" w:cs="Times New Roman" w:eastAsia="Times New Roman" w:hAnsi="Times New Roman"/>
          <w:sz w:val="18"/>
          <w:szCs w:val="18"/>
          <w:b w:val="1"/>
          <w:bCs w:val="1"/>
          <w:color w:val="auto"/>
        </w:rPr>
        <w: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and its board of directors decided to discontinue the Synpheny-3 trial and significantly reduce its workforce and as a result have made the decision to evaluate strategic options for the Company with a goal to enhance stockholder value, including the possibility of a merger or sale of the Company. The Company expects to devote significant time and resources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identifying and evaluating strategic alternatives, however, there can be no assurance that such activities will result in any agreements or transactions that will enhance shareholder value. Further, any strategic transaction that is completed ultimately may not deliver the anticipated benefits or enhance shareholder value</w:t>
      </w:r>
      <w:r>
        <w:rPr>
          <w:rFonts w:ascii="Times New Roman" w:cs="Times New Roman" w:eastAsia="Times New Roman" w:hAnsi="Times New Roman"/>
          <w:sz w:val="18"/>
          <w:szCs w:val="18"/>
          <w:b w:val="1"/>
          <w:bCs w:val="1"/>
          <w:color w:val="auto"/>
        </w:rPr>
        <w:t>.</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currently evaluating the impact that this subsequent event will have on the financial statements for the interim period ending March 31, 2024. However, it expects that material restructuring charges will be recorded in addition to material impairment charges, including (but not limited to) impairment charges relating to the balances of property and equipment, net, prepaid research and development costs and right of use assets – operating lease.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SYNLOGIC,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INDUCEMENT EQUITY INCENTIVE AWARD PLAN</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purpose of the Synlogic, Inc. 2015 Inducement Equity Incentive Award Plan (as it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to promote the success and enhance the value of Synlogic,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by enhancing the Company’s ability to attract new Employees who are expected to make important contributions to the Company and by providing these individuals with equity ownership opportunities that are intended to better align the interests of such persons with those of the Company’s stockholders. The Company intends that the Plan be reserved for persons whom the Company may issue securities without stockholder approval as an inducement pursuant to Listing Rule 5635(c)(4) of the corporate governance rules of the Nasdaq Stock Market.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CONSTRUCTION</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shall mean the entity that conducts the general administration of the Plan as provided in Article 13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any Parent or Subsidiary.</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Applicable Accounting Standards</w:t>
      </w:r>
      <w:r>
        <w:rPr>
          <w:rFonts w:ascii="Times New Roman" w:cs="Times New Roman" w:eastAsia="Times New Roman" w:hAnsi="Times New Roman"/>
          <w:sz w:val="22"/>
          <w:szCs w:val="22"/>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shall mean any applicable law, including without limitation, (i) provisions of the Code, the Securities Act, the Exchange Act and any rules or regulations thereunder; (ii) corporate, securities, tax or other laws, statutes, rules, requirements or regulations, whether federal, state, local or foreign; and (iii) rules of any securities exchange or automated quotation system on which the Shares are listed, quoted or traded.</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0" w:name="page131"/>
    <w:bookmarkEnd w:id="130"/>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2.8.“</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unless such term or an equivalent term is otherwise defined by the applicable Award Agreement or other written agreement between a Holder and the Company applicable to an Award, the occurrence of any of the following events: (i) a Holder’s act of personal dishonesty, willful violation of any law, rule or regulation (other than minor traffic violations or similar offenses), or breach of fiduciary duty involving personal profit, (ii) a Holder’s failure to satisfactorily perform such Holder’s duties and responsibilities for the Company or any Affiliate, (iii) a Holder’s conviction of, or plea of nolo contender to, any felony or a crime involving moral turpitude, (iv) a Holder has engaged in negligence or willful misconduct in the performance of such Holder’s duties, including, but not limited to, willfully refusing without proper legal reason to perform such Holder’s duties and responsibilities, (v) a Holder has materially breached any corporate policy or code of conduct established by the Company or any Subsidiary as such policies or codes may be adopted from time to time, (vi) a Holder has violated the terms of any confidentiality, nondisclosure, intellectual property, nonsolicitation, noncompetition, proprietary information or inventions agreement, or any other agreement between such Holder and the Company or any Subsidiary related to such Holder’s service with the Company or any Subsidiary, or (vii) a Holder has engaged in conduct that is likely to have a deleterious effect on the Company or any Subsidiary or their legitimate business interests, including, but not limited to, their goodwill and public image. The determination that a Holder’s Termination of Service is either for Cause or without Cause shall be made by the Company in its sole discretion. Any determination by the Company that a Holder experienced a Termination of Service by reason of dismissal without Cause for the purposes of outstanding Awards held by such Holder shall have no effect upon any determination of the rights or obligations of the Company or such Holder for any other purpose.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in a single transaction or in a series of related transactions, of any one or more of the following events:</w:t>
      </w:r>
    </w:p>
    <w:p>
      <w:pPr>
        <w:spacing w:after="0" w:line="158" w:lineRule="exact"/>
        <w:rPr>
          <w:sz w:val="20"/>
          <w:szCs w:val="20"/>
          <w:color w:val="auto"/>
        </w:rPr>
      </w:pPr>
    </w:p>
    <w:p>
      <w:pPr>
        <w:jc w:val="both"/>
        <w:ind w:firstLine="1505"/>
        <w:spacing w:after="0" w:line="235" w:lineRule="auto"/>
        <w:tabs>
          <w:tab w:leader="none" w:pos="20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7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two consecutive years, individuals who, at the beginning of such period, constitute the Board together with any new Director(s) (other than 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jc w:val="both"/>
        <w:spacing w:after="0" w:line="255" w:lineRule="auto"/>
        <w:rPr>
          <w:sz w:val="20"/>
          <w:szCs w:val="20"/>
          <w:color w:val="auto"/>
        </w:rPr>
      </w:pPr>
      <w:r>
        <w:rPr>
          <w:rFonts w:ascii="Times New Roman" w:cs="Times New Roman" w:eastAsia="Times New Roman" w:hAnsi="Times New Roman"/>
          <w:sz w:val="21"/>
          <w:szCs w:val="21"/>
          <w:color w:val="auto"/>
        </w:rPr>
        <w:t>Director designated by a person who shall have entered into an agreement with the Company to effect a transaction described in Section 2.9(a) or 2.9(c))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2" w:lineRule="exact"/>
        <w:rPr>
          <w:sz w:val="20"/>
          <w:szCs w:val="20"/>
          <w:color w:val="auto"/>
        </w:rPr>
      </w:pPr>
    </w:p>
    <w:p>
      <w:pPr>
        <w:jc w:val="both"/>
        <w:ind w:firstLine="1505"/>
        <w:spacing w:after="0" w:line="239" w:lineRule="auto"/>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0"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2"/>
          <w:szCs w:val="22"/>
          <w:u w:val="single" w:color="auto"/>
          <w:color w:val="auto"/>
        </w:rPr>
        <w:t>Successor Entity</w:t>
      </w:r>
      <w:r>
        <w:rPr>
          <w:rFonts w:ascii="Times New Roman" w:cs="Times New Roman" w:eastAsia="Times New Roman" w:hAnsi="Times New Roman"/>
          <w:sz w:val="22"/>
          <w:szCs w:val="22"/>
          <w:color w:val="auto"/>
        </w:rPr>
        <w:t>”)) directly or indirectly, at least a majority of the combined voting power of the Successor Entity’s outstanding voting securities immediately after the transaction, and</w:t>
      </w:r>
    </w:p>
    <w:p>
      <w:pPr>
        <w:spacing w:after="0" w:line="181"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which no person or group beneficially owns voting securities representing 50% or more of the combined voting power of the Successor Entity; provided, however, that no person or group shall be treated for purposes of this Section 2.9(c)(ii) as beneficially owning 50% or more of the combined voting power of the Successor Entity solely as a result of the voting power held in the Company prior to the consummation of the transaction; or</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approve a liquidation or dissolution of the Company.</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Notwithstanding the foregoing, if a Change in Control constitutes a payment event with respect to any portion of an Award that provides for the deferral of compensation and is subject to Section 409A of the Code, the transaction or event described in subsection (a), (b), (c) or (d) with respect to such Award (or portion thereof) must also constitute a “change in control event,” as defined in Treasury Regulation Section 1.409A-3(i)(5) to the extent required by Section 409A.</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is in conjunction with a determination of whether a Change in Control is a “change in control event” as defined in Treasury Regulation Section 1.409A-3(i)(5) shall be consistent with such regulation.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2.10.“</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together with the regulations and official guidance promulgated thereunder, whether issued prior or subsequent to the grant of any Award.</w:t>
      </w:r>
    </w:p>
    <w:p>
      <w:pPr>
        <w:spacing w:after="0" w:line="15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2.11.“</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shall mean the Compensation Committee of the Board (as constituted in compliance with Rule 5605(d)(2) of the Nasdaq Listing Rules) in order to comply with the exemption from the stockholder approval requirement for “inducement grants” provided under Rule 5636(c)(4) of the Nasdaq Listing Rules, appointed as provided in Section 13.1 hereof.</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2.12.“</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of the Company, par value $0.001 per share.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2.13.“</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Article 1 hereof.</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2.14.“</w:t>
      </w:r>
      <w:r>
        <w:rPr>
          <w:rFonts w:ascii="Times New Roman" w:cs="Times New Roman" w:eastAsia="Times New Roman" w:hAnsi="Times New Roman"/>
          <w:sz w:val="22"/>
          <w:szCs w:val="22"/>
          <w:u w:val="single" w:color="auto"/>
          <w:color w:val="auto"/>
        </w:rPr>
        <w:t>Covered Employee</w:t>
      </w:r>
      <w:r>
        <w:rPr>
          <w:rFonts w:ascii="Times New Roman" w:cs="Times New Roman" w:eastAsia="Times New Roman" w:hAnsi="Times New Roman"/>
          <w:sz w:val="22"/>
          <w:szCs w:val="22"/>
          <w:color w:val="auto"/>
        </w:rPr>
        <w:t>” shall mean any Employee who is, or could be, a “covered employee” within the meaning of Section 162(m) of the Code.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2.15.“</w:t>
      </w:r>
      <w:r>
        <w:rPr>
          <w:rFonts w:ascii="Times New Roman" w:cs="Times New Roman" w:eastAsia="Times New Roman" w:hAnsi="Times New Roman"/>
          <w:sz w:val="22"/>
          <w:szCs w:val="22"/>
          <w:u w:val="single" w:color="auto"/>
          <w:color w:val="auto"/>
        </w:rPr>
        <w:t>Deferred Stock</w:t>
      </w:r>
      <w:r>
        <w:rPr>
          <w:rFonts w:ascii="Times New Roman" w:cs="Times New Roman" w:eastAsia="Times New Roman" w:hAnsi="Times New Roman"/>
          <w:sz w:val="22"/>
          <w:szCs w:val="22"/>
          <w:color w:val="auto"/>
        </w:rPr>
        <w:t>” shall mean a right to receive Shares awarded under Section 10.4 hereof.</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2.16.“</w:t>
      </w:r>
      <w:r>
        <w:rPr>
          <w:rFonts w:ascii="Times New Roman" w:cs="Times New Roman" w:eastAsia="Times New Roman" w:hAnsi="Times New Roman"/>
          <w:sz w:val="22"/>
          <w:szCs w:val="22"/>
          <w:u w:val="single" w:color="auto"/>
          <w:color w:val="auto"/>
        </w:rPr>
        <w:t>Deferred Stock Unit</w:t>
      </w:r>
      <w:r>
        <w:rPr>
          <w:rFonts w:ascii="Times New Roman" w:cs="Times New Roman" w:eastAsia="Times New Roman" w:hAnsi="Times New Roman"/>
          <w:sz w:val="22"/>
          <w:szCs w:val="22"/>
          <w:color w:val="auto"/>
        </w:rPr>
        <w:t>” shall mean a right to receive Shares awarded under Section 10.5 hereof.</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2.17.“</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shall mean a member of the Board, as constituted from time to time.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2.18.“</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shall mean a right to receive the equivalent value (in cash or Shares) of dividends paid on Shares, awarded under Section 10.2 hereof.</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2.19.“</w:t>
      </w:r>
      <w:r>
        <w:rPr>
          <w:rFonts w:ascii="Times New Roman" w:cs="Times New Roman" w:eastAsia="Times New Roman" w:hAnsi="Times New Roman"/>
          <w:sz w:val="22"/>
          <w:szCs w:val="22"/>
          <w:u w:val="single" w:color="auto"/>
          <w:color w:val="auto"/>
        </w:rPr>
        <w:t>DRO</w:t>
      </w:r>
      <w:r>
        <w:rPr>
          <w:rFonts w:ascii="Times New Roman" w:cs="Times New Roman" w:eastAsia="Times New Roman" w:hAnsi="Times New Roman"/>
          <w:sz w:val="22"/>
          <w:szCs w:val="22"/>
          <w:color w:val="auto"/>
        </w:rPr>
        <w:t>” shall mean a “domestic relations order” as defined by the Code or Title I of the Employee Retirement Income Security Act of 1974, as amended from time to time, or the rules thereunder.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2.20.“</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September 30, 2015.</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2.21.“</w:t>
      </w:r>
      <w:r>
        <w:rPr>
          <w:rFonts w:ascii="Times New Roman" w:cs="Times New Roman" w:eastAsia="Times New Roman" w:hAnsi="Times New Roman"/>
          <w:sz w:val="22"/>
          <w:szCs w:val="22"/>
          <w:u w:val="single" w:color="auto"/>
          <w:color w:val="auto"/>
        </w:rPr>
        <w:t>Eligible Individual</w:t>
      </w:r>
      <w:r>
        <w:rPr>
          <w:rFonts w:ascii="Times New Roman" w:cs="Times New Roman" w:eastAsia="Times New Roman" w:hAnsi="Times New Roman"/>
          <w:sz w:val="22"/>
          <w:szCs w:val="22"/>
          <w:color w:val="auto"/>
        </w:rPr>
        <w:t>” shall mean any person who is an Employee.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2.22.“</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shall mean any officer or other employee (as determined in accordance with Section 3401(c) of the Code and the Treasury Regulations thereunder) of the Company or any Affiliate.</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2.23.“</w:t>
      </w:r>
      <w:r>
        <w:rPr>
          <w:rFonts w:ascii="Times New Roman" w:cs="Times New Roman" w:eastAsia="Times New Roman" w:hAnsi="Times New Roman"/>
          <w:sz w:val="22"/>
          <w:szCs w:val="22"/>
          <w:u w:val="single" w:color="auto"/>
          <w:color w:val="auto"/>
        </w:rPr>
        <w:t>Equity Restructuring</w:t>
      </w:r>
      <w:r>
        <w:rPr>
          <w:rFonts w:ascii="Times New Roman" w:cs="Times New Roman" w:eastAsia="Times New Roman" w:hAnsi="Times New Roman"/>
          <w:sz w:val="22"/>
          <w:szCs w:val="22"/>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 share value of the Common Stock underlying outstanding stock-based Awards.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ind w:left="760"/>
        <w:spacing w:after="0"/>
        <w:rPr>
          <w:sz w:val="20"/>
          <w:szCs w:val="20"/>
          <w:color w:val="auto"/>
        </w:rPr>
      </w:pPr>
      <w:r>
        <w:rPr>
          <w:rFonts w:ascii="Times New Roman" w:cs="Times New Roman" w:eastAsia="Times New Roman" w:hAnsi="Times New Roman"/>
          <w:sz w:val="22"/>
          <w:szCs w:val="22"/>
          <w:color w:val="auto"/>
        </w:rPr>
        <w:t>2.24.“</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 from time to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2.25.“</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shall mean, as of any given date, the value of a Share determined as follows:</w:t>
      </w:r>
    </w:p>
    <w:p>
      <w:pPr>
        <w:spacing w:after="0" w:line="206" w:lineRule="exact"/>
        <w:rPr>
          <w:sz w:val="20"/>
          <w:szCs w:val="20"/>
          <w:color w:val="auto"/>
        </w:rPr>
      </w:pPr>
    </w:p>
    <w:p>
      <w:pPr>
        <w:jc w:val="both"/>
        <w:ind w:firstLine="1505"/>
        <w:spacing w:after="0" w:line="236"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(i) listed on any established securities exchange (such as the New York Stock Exchange, the Nasdaq Global Market, the Nasdaq Capital Market and the Nasdaq Global Select Market), (ii) listed on any national market system or (iii) listed,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7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2.26.“</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shall mean, unless such term or an equivalent term is otherwise defined by the applicable Award Agreement or other written agreement between a Holder and the Company applicable to an Award, with respect to any particular Holder, the Holder’s resignation from all positions he or she then-holds with the Company if (A) without Holder’s written consent (I) there is a material reduction of the Holder’s base salary;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material reduction in the Holder’s base salary pursuant to a salary reduction program affecting all or substantially all of the employees of the Company and that does not adversely affect Holder to a greater extent than other similarly situated employees shall not constitute Good Reason; or</w:t>
      </w:r>
    </w:p>
    <w:p>
      <w:pPr>
        <w:spacing w:after="0" w:line="3" w:lineRule="exact"/>
        <w:rPr>
          <w:sz w:val="20"/>
          <w:szCs w:val="20"/>
          <w:color w:val="auto"/>
        </w:rPr>
      </w:pPr>
    </w:p>
    <w:p>
      <w:pPr>
        <w:jc w:val="both"/>
        <w:ind w:firstLine="8"/>
        <w:spacing w:after="0" w:line="232" w:lineRule="auto"/>
        <w:tabs>
          <w:tab w:leader="none" w:pos="35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is required to relocate his or her primary work location to a facility or location that would increase the Holder’s one way commute distance by more than fifty (50) miles from the Holder’s primary work location as of immediately prior to such change, (B) the Holder provides written notice outlining such conditions, acts or omissions to the Company’s General Counsel within thirty (30) days immediately following such material change or reduction, (C) such material change or reduction is not remedied by the Company within thirty (30) days following the Company’s receipt of such written notice and (D) the Holder’s resignation is effective not later than thirty (30) days after the expiration of such thirty (30) day cure period.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2.27.“</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shall mean a person who has been granted an Award.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2.28.“</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shall mean an Option that is intended to qualify as an incentive stock option and conforms to the applicable provisions of Section 422 of the Code.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2.29.“</w:t>
      </w:r>
      <w:r>
        <w:rPr>
          <w:rFonts w:ascii="Times New Roman" w:cs="Times New Roman" w:eastAsia="Times New Roman" w:hAnsi="Times New Roman"/>
          <w:sz w:val="22"/>
          <w:szCs w:val="22"/>
          <w:u w:val="single" w:color="auto"/>
          <w:color w:val="auto"/>
        </w:rPr>
        <w:t>Non-Qualified Stock Option</w:t>
      </w:r>
      <w:r>
        <w:rPr>
          <w:rFonts w:ascii="Times New Roman" w:cs="Times New Roman" w:eastAsia="Times New Roman" w:hAnsi="Times New Roman"/>
          <w:sz w:val="22"/>
          <w:szCs w:val="22"/>
          <w:color w:val="auto"/>
        </w:rPr>
        <w:t>” shall mean an Option that is not intended to qualify as an Incentive Stock Option.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2.30.“</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shall mean a right to purchase Shares at a specified exercise price, granted under Article 6 hereof.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Options granted under the Plan shall only be Non-Qualified Stock Options.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2.31.“</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shall have the meaning set forth in Section 6.4 hereof.</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2.32.“</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2.33.“</w:t>
      </w:r>
      <w:r>
        <w:rPr>
          <w:rFonts w:ascii="Times New Roman" w:cs="Times New Roman" w:eastAsia="Times New Roman" w:hAnsi="Times New Roman"/>
          <w:sz w:val="22"/>
          <w:szCs w:val="22"/>
          <w:u w:val="single" w:color="auto"/>
          <w:color w:val="auto"/>
        </w:rPr>
        <w:t>Performance Award</w:t>
      </w:r>
      <w:r>
        <w:rPr>
          <w:rFonts w:ascii="Times New Roman" w:cs="Times New Roman" w:eastAsia="Times New Roman" w:hAnsi="Times New Roman"/>
          <w:sz w:val="22"/>
          <w:szCs w:val="22"/>
          <w:color w:val="auto"/>
        </w:rPr>
        <w:t>” shall mean a cash bonus award, stock bonus award, performance award or incentive award that is paid in cash, Shares or a combination of both, awarded under Section 10.1 hereof.</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2.34.“</w:t>
      </w:r>
      <w:r>
        <w:rPr>
          <w:rFonts w:ascii="Times New Roman" w:cs="Times New Roman" w:eastAsia="Times New Roman" w:hAnsi="Times New Roman"/>
          <w:sz w:val="22"/>
          <w:szCs w:val="22"/>
          <w:u w:val="single" w:color="auto"/>
          <w:color w:val="auto"/>
        </w:rPr>
        <w:t>Performance-Based Compensation</w:t>
      </w:r>
      <w:r>
        <w:rPr>
          <w:rFonts w:ascii="Times New Roman" w:cs="Times New Roman" w:eastAsia="Times New Roman" w:hAnsi="Times New Roman"/>
          <w:sz w:val="22"/>
          <w:szCs w:val="22"/>
          <w:color w:val="auto"/>
        </w:rPr>
        <w:t>” shall mean any compensation that is intended to qualify as “performance-based compensation” as described in Section 162(m)(4)(C) of the Code.</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2.35.“</w:t>
      </w: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shall mean the criteria (and adjustments) that the Committee selects for an Award for purposes of establishing the Performance Goal or Performance Goals for a Performance Period, determined as follows:</w:t>
      </w:r>
    </w:p>
    <w:p>
      <w:pPr>
        <w:spacing w:after="0" w:line="158" w:lineRule="exact"/>
        <w:rPr>
          <w:sz w:val="20"/>
          <w:szCs w:val="20"/>
          <w:color w:val="auto"/>
        </w:rPr>
      </w:pPr>
    </w:p>
    <w:p>
      <w:pPr>
        <w:ind w:left="2040" w:hanging="535"/>
        <w:spacing w:after="0"/>
        <w:tabs>
          <w:tab w:leader="none" w:pos="20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Criteria that shall be used to establish Performance Goals are limited to the following:</w:t>
      </w:r>
    </w:p>
    <w:p>
      <w:pPr>
        <w:spacing w:after="0" w:line="14" w:lineRule="exact"/>
        <w:rPr>
          <w:rFonts w:ascii="Times New Roman" w:cs="Times New Roman" w:eastAsia="Times New Roman" w:hAnsi="Times New Roman"/>
          <w:sz w:val="22"/>
          <w:szCs w:val="22"/>
          <w:color w:val="auto"/>
        </w:rPr>
      </w:pPr>
    </w:p>
    <w:p>
      <w:pPr>
        <w:jc w:val="both"/>
        <w:ind w:firstLine="8"/>
        <w:spacing w:after="0" w:line="241" w:lineRule="auto"/>
        <w:tabs>
          <w:tab w:leader="none" w:pos="29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earnings or losses (either before or after one or more of the following: (A) interest, (B) taxes, (C) depreciation, (D) amortization and (E) non-cash equity-based compensation expense); (ii) gross or net sales or revenue or sales or revenue growth;</w:t>
      </w:r>
    </w:p>
    <w:p>
      <w:pPr>
        <w:spacing w:after="0" w:line="1" w:lineRule="exact"/>
        <w:rPr>
          <w:rFonts w:ascii="Times New Roman" w:cs="Times New Roman" w:eastAsia="Times New Roman" w:hAnsi="Times New Roman"/>
          <w:sz w:val="21"/>
          <w:szCs w:val="21"/>
          <w:color w:val="auto"/>
        </w:rPr>
      </w:pPr>
    </w:p>
    <w:p>
      <w:pPr>
        <w:jc w:val="both"/>
        <w:ind w:firstLine="8"/>
        <w:spacing w:after="0" w:line="231" w:lineRule="auto"/>
        <w:tabs>
          <w:tab w:leader="none" w:pos="38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(either before or after taxes); (iv) adjusted net income; (v) operating income, earnings or profit (either before or after taxes); (vi) cash flow (including, but not limited to, cash flow return on investments,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funds from operations; (xv) expenses; (xvi) working capital; (xvii) earnings or loss per Share; (xviii) adjusted earnings or loss per share; (xix) price per Share or dividends per Share (or appreciation in and/or maintenance of such price of dividends); (xx) regulatory achievements or compliance (including, without limitation, regulatory body approval for commercialization of a product); (xxi) implementation or completion of critical projects; (xxii) market share; (xxiii) economic value; (xxiv) debt levels or reduction; (xxv) customer retention; (xxvi) sales-related goals; (xxvii) comparisons with other stock market indices; (xxviii) operating efficiency; (xxix) customer satisfaction and/or growth; (xxx) employee satisfaction; (xxxi) research and development achievements; (xxxii) financing and other capital raising transactions; (xxxiii) recruiting and maintaining personnel; and (xxxiv) year-end cash, any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5" w:name="page136"/>
    <w:bookmarkEnd w:id="135"/>
    <w:p>
      <w:pPr>
        <w:jc w:val="both"/>
        <w:spacing w:after="0" w:line="244" w:lineRule="auto"/>
        <w:rPr>
          <w:sz w:val="20"/>
          <w:szCs w:val="20"/>
          <w:color w:val="auto"/>
        </w:rPr>
      </w:pPr>
      <w:r>
        <w:rPr>
          <w:rFonts w:ascii="Times New Roman" w:cs="Times New Roman" w:eastAsia="Times New Roman" w:hAnsi="Times New Roman"/>
          <w:sz w:val="22"/>
          <w:szCs w:val="22"/>
          <w:color w:val="auto"/>
        </w:rPr>
        <w:t>of which may be measured either in absolute terms for the Company or any department or operating unit of the Company or as compared to any incremental increase or decrease or as compared to results of a peer group or to market performance indicators or indices.</w:t>
      </w:r>
    </w:p>
    <w:p>
      <w:pPr>
        <w:spacing w:after="0" w:line="173" w:lineRule="exact"/>
        <w:rPr>
          <w:sz w:val="20"/>
          <w:szCs w:val="20"/>
          <w:color w:val="auto"/>
        </w:rPr>
      </w:pPr>
    </w:p>
    <w:p>
      <w:pPr>
        <w:jc w:val="both"/>
        <w:ind w:firstLine="1505"/>
        <w:spacing w:after="0" w:line="232"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in its sole discretion, provide that one or more objectively determinable adjustments shall be made to one or more of the Performance Goals. Such adjustments may include, but are not limited to,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sale or disposition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Laws, accounting principles or business conditions. For all Awards intended to qualify as Performance-Based Compensation, such determinations shall be made within the time prescribed by, and otherwise in compliance with, Section 162(m) of the Code.</w:t>
      </w:r>
    </w:p>
    <w:p>
      <w:pPr>
        <w:spacing w:after="0" w:line="19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2.36.“</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shall mean, with respect to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an Affiliate, a division, business unit or one or more individuals. The achievement of each Performance Goal shall be determined, to the extent applicable, with reference to Applicable Accounting Standards.</w:t>
      </w:r>
    </w:p>
    <w:p>
      <w:pPr>
        <w:spacing w:after="0" w:line="177"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2.37.“</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 Performance Award.</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2.38.“</w:t>
      </w:r>
      <w:r>
        <w:rPr>
          <w:rFonts w:ascii="Times New Roman" w:cs="Times New Roman" w:eastAsia="Times New Roman" w:hAnsi="Times New Roman"/>
          <w:sz w:val="22"/>
          <w:szCs w:val="22"/>
          <w:u w:val="single" w:color="auto"/>
          <w:color w:val="auto"/>
        </w:rPr>
        <w:t>Performance Stock Unit</w:t>
      </w:r>
      <w:r>
        <w:rPr>
          <w:rFonts w:ascii="Times New Roman" w:cs="Times New Roman" w:eastAsia="Times New Roman" w:hAnsi="Times New Roman"/>
          <w:sz w:val="22"/>
          <w:szCs w:val="22"/>
          <w:color w:val="auto"/>
        </w:rPr>
        <w:t>” shall mean a Performance Award awarded under Section 10.1 hereof which is denominated in units of value including dollar value of shares of Common Stock.</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2.39.“</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shall mean, with respect to a Holder, (a) prior to the Public Trading Date, any “family member” of the Holder, as defined under Rule 701 of the Securities Act and (b) on or after the Public Trading Date, any “family member” of the Holder, as defined under the General Instructions to Form S-8 Registration Statement under the Securities Act or any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6" w:name="page137"/>
    <w:bookmarkEnd w:id="136"/>
    <w:p>
      <w:pPr>
        <w:jc w:val="both"/>
        <w:spacing w:after="0" w:line="258" w:lineRule="auto"/>
        <w:rPr>
          <w:sz w:val="20"/>
          <w:szCs w:val="20"/>
          <w:color w:val="auto"/>
        </w:rPr>
      </w:pPr>
      <w:r>
        <w:rPr>
          <w:rFonts w:ascii="Times New Roman" w:cs="Times New Roman" w:eastAsia="Times New Roman" w:hAnsi="Times New Roman"/>
          <w:sz w:val="22"/>
          <w:szCs w:val="22"/>
          <w:color w:val="auto"/>
        </w:rPr>
        <w:t>successor Form thereto, or any other transferee specifically approved by the Administrator, after taking into account Applicable Law.</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2.40.“</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have the meaning set forth in Article 1 hereof.</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2.41.“</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2.42.“</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shall mean an award of Shares made under Article 8 hereof that is subject to certain restrictions and may be subject to risk of forfeiture or repurchase.</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2.43.“</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shall mean a contractual right awarded under Article 9 hereof to receive in the future a Share or the Fair Market Value of a Share in cash.</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2.44.“</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2.45.“</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shall mean shares of Common Stock.</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2.46.“</w:t>
      </w:r>
      <w:r>
        <w:rPr>
          <w:rFonts w:ascii="Times New Roman" w:cs="Times New Roman" w:eastAsia="Times New Roman" w:hAnsi="Times New Roman"/>
          <w:sz w:val="22"/>
          <w:szCs w:val="22"/>
          <w:u w:val="single" w:color="auto"/>
          <w:color w:val="auto"/>
        </w:rPr>
        <w:t>Share Limit</w:t>
      </w:r>
      <w:r>
        <w:rPr>
          <w:rFonts w:ascii="Times New Roman" w:cs="Times New Roman" w:eastAsia="Times New Roman" w:hAnsi="Times New Roman"/>
          <w:sz w:val="22"/>
          <w:szCs w:val="22"/>
          <w:color w:val="auto"/>
        </w:rPr>
        <w:t>” shall have the meaning set forth in Section 3.1(a) hereof.</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2.47.“</w:t>
      </w:r>
      <w:r>
        <w:rPr>
          <w:rFonts w:ascii="Times New Roman" w:cs="Times New Roman" w:eastAsia="Times New Roman" w:hAnsi="Times New Roman"/>
          <w:sz w:val="22"/>
          <w:szCs w:val="22"/>
          <w:u w:val="single" w:color="auto"/>
          <w:color w:val="auto"/>
        </w:rPr>
        <w:t>Stock Appreciation Right</w:t>
      </w:r>
      <w:r>
        <w:rPr>
          <w:rFonts w:ascii="Times New Roman" w:cs="Times New Roman" w:eastAsia="Times New Roman" w:hAnsi="Times New Roman"/>
          <w:sz w:val="22"/>
          <w:szCs w:val="22"/>
          <w:color w:val="auto"/>
        </w:rPr>
        <w:t>” shall mean a stock appreciation right granted under Article 11 hereof.</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2.48.“</w:t>
      </w:r>
      <w:r>
        <w:rPr>
          <w:rFonts w:ascii="Times New Roman" w:cs="Times New Roman" w:eastAsia="Times New Roman" w:hAnsi="Times New Roman"/>
          <w:sz w:val="22"/>
          <w:szCs w:val="22"/>
          <w:u w:val="single" w:color="auto"/>
          <w:color w:val="auto"/>
        </w:rPr>
        <w:t>Stock Appreciation Right Term</w:t>
      </w:r>
      <w:r>
        <w:rPr>
          <w:rFonts w:ascii="Times New Roman" w:cs="Times New Roman" w:eastAsia="Times New Roman" w:hAnsi="Times New Roman"/>
          <w:sz w:val="22"/>
          <w:szCs w:val="22"/>
          <w:color w:val="auto"/>
        </w:rPr>
        <w:t>” shall have the meaning set forth in Section 11.4 hereof.</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2.49.“</w:t>
      </w:r>
      <w:r>
        <w:rPr>
          <w:rFonts w:ascii="Times New Roman" w:cs="Times New Roman" w:eastAsia="Times New Roman" w:hAnsi="Times New Roman"/>
          <w:sz w:val="22"/>
          <w:szCs w:val="22"/>
          <w:u w:val="single" w:color="auto"/>
          <w:color w:val="auto"/>
        </w:rPr>
        <w:t>Stock Payment</w:t>
      </w:r>
      <w:r>
        <w:rPr>
          <w:rFonts w:ascii="Times New Roman" w:cs="Times New Roman" w:eastAsia="Times New Roman" w:hAnsi="Times New Roman"/>
          <w:sz w:val="22"/>
          <w:szCs w:val="22"/>
          <w:color w:val="auto"/>
        </w:rPr>
        <w:t>” shall mean (a) a payment in the form of Shares, or (b) an option or other right to purchase Shares, as part of a bonus, deferred compensation or other arrangement, awarded under Section 10.3 hereof.</w:t>
      </w:r>
    </w:p>
    <w:p>
      <w:pPr>
        <w:spacing w:after="0" w:line="158"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2.50.“</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2.51.“</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shall mean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For purposes of the Plan, a Holder’s employee-employer relationship shall be deemed to be terminated in the event that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spacing w:after="0" w:line="258" w:lineRule="auto"/>
        <w:rPr>
          <w:sz w:val="20"/>
          <w:szCs w:val="20"/>
          <w:color w:val="auto"/>
        </w:rPr>
      </w:pPr>
      <w:r>
        <w:rPr>
          <w:rFonts w:ascii="Times New Roman" w:cs="Times New Roman" w:eastAsia="Times New Roman" w:hAnsi="Times New Roman"/>
          <w:sz w:val="22"/>
          <w:szCs w:val="22"/>
          <w:color w:val="auto"/>
        </w:rPr>
        <w:t>Affiliate employing such Holder ceases to remain an Affiliate following any merger, sale of stock or other corporate transaction or event (including, without limitation, a spin-off).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SHARES SUBJECT TO THE PLAN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58"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Sections 14.1, 14.2 and 3.1(b) hereof, the aggregate number of Shares which may be issued or transferred pursuant to Awards under the Plan shall be [__________] Shares.</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and shall be added back to the Share Limit. In addition, (i) Shares tendered by a Holder or withheld by the Company in payment of the exercise price of an Option; (ii) Shares tendered by a Holder or withheld by the Company to satisfy any tax withholding obligation with respect to an Award; and (iii) Shares subject to Stock Appreciation Rights that are not issued in connection with the stock settlement of the Stock Appreciation Rights on exercise thereof shall be available for future grants of Awards under the Plan and shall be added back to the Share Limit. Notwithstanding anything to the contrary contained herein, Shares purchased on the open market with the cash proceeds from the exercise of Options shall not be added back to the Share Limit and shall not be available for future grants of Awards. Any Shares repurchased by the Company under Section 8.4 hereof at the same price paid by the Holder or a lower price so that such Shares are returned to the Company will again be available for Awards. The payment of Dividend Equivalents in cash in conjunction with any outstanding Awards shall not be counted against the Shares available for issuance under the Plan.</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22"/>
          <w:szCs w:val="22"/>
          <w:u w:val="single" w:color="auto"/>
          <w:color w:val="auto"/>
        </w:rPr>
        <w:t>Stock Distributed</w:t>
      </w:r>
      <w:r>
        <w:rPr>
          <w:rFonts w:ascii="Times New Roman" w:cs="Times New Roman" w:eastAsia="Times New Roman" w:hAnsi="Times New Roman"/>
          <w:sz w:val="22"/>
          <w:szCs w:val="22"/>
          <w:color w:val="auto"/>
        </w:rPr>
        <w:t>. Any Shares distributed pursuant to an Award may consist, in whole or in part, of authorized and unissued Common Stock, treasury Common Stock or Common Stock purchased on the open market.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GRANTING OF AWARDS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The Administrator may, from time to time, select from among all Eligible Individuals, those to whom an Award shall be granted and shall determine the nature and amount of each Award, which shall not be inconsistent with the requirements of the Plan.</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4.2.</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jc w:val="both"/>
        <w:spacing w:after="0" w:line="258" w:lineRule="auto"/>
        <w:rPr>
          <w:sz w:val="20"/>
          <w:szCs w:val="20"/>
          <w:color w:val="auto"/>
        </w:rPr>
      </w:pPr>
      <w:r>
        <w:rPr>
          <w:rFonts w:ascii="Times New Roman" w:cs="Times New Roman" w:eastAsia="Times New Roman" w:hAnsi="Times New Roman"/>
          <w:sz w:val="22"/>
          <w:szCs w:val="22"/>
          <w:color w:val="auto"/>
        </w:rPr>
        <w:t>Compensation shall contain such terms and conditions as may be necessary to meet the applicable provisions of Section 162(m) of the Code.</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4.3.</w:t>
      </w:r>
      <w:r>
        <w:rPr>
          <w:rFonts w:ascii="Times New Roman" w:cs="Times New Roman" w:eastAsia="Times New Roman" w:hAnsi="Times New Roman"/>
          <w:sz w:val="22"/>
          <w:szCs w:val="22"/>
          <w:u w:val="single" w:color="auto"/>
          <w:color w:val="auto"/>
        </w:rPr>
        <w:t>Limitations Applicable to Section 16 Persons</w:t>
      </w:r>
      <w:r>
        <w:rPr>
          <w:rFonts w:ascii="Times New Roman" w:cs="Times New Roman" w:eastAsia="Times New Roman" w:hAnsi="Times New Roman"/>
          <w:sz w:val="22"/>
          <w:szCs w:val="22"/>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4.4.</w:t>
      </w:r>
      <w:r>
        <w:rPr>
          <w:rFonts w:ascii="Times New Roman" w:cs="Times New Roman" w:eastAsia="Times New Roman" w:hAnsi="Times New Roman"/>
          <w:sz w:val="22"/>
          <w:szCs w:val="22"/>
          <w:u w:val="single" w:color="auto"/>
          <w:color w:val="auto"/>
        </w:rPr>
        <w:t>At-Will Service; Voluntary Participation</w:t>
      </w:r>
      <w:r>
        <w:rPr>
          <w:rFonts w:ascii="Times New Roman" w:cs="Times New Roman" w:eastAsia="Times New Roman" w:hAnsi="Times New Roman"/>
          <w:sz w:val="22"/>
          <w:szCs w:val="22"/>
          <w:color w:val="auto"/>
        </w:rPr>
        <w:t>. Nothing in the Plan or in any Program or Award Agreement hereunder shall confer upon any Holder any right to continue in the employ of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4.5.</w:t>
      </w:r>
      <w:r>
        <w:rPr>
          <w:rFonts w:ascii="Times New Roman" w:cs="Times New Roman" w:eastAsia="Times New Roman" w:hAnsi="Times New Roman"/>
          <w:sz w:val="21"/>
          <w:szCs w:val="21"/>
          <w:u w:val="single" w:color="auto"/>
          <w:color w:val="auto"/>
        </w:rPr>
        <w:t>Foreign Holders</w:t>
      </w:r>
      <w:r>
        <w:rPr>
          <w:rFonts w:ascii="Times New Roman" w:cs="Times New Roman" w:eastAsia="Times New Roman" w:hAnsi="Times New Roman"/>
          <w:sz w:val="21"/>
          <w:szCs w:val="21"/>
          <w:color w:val="auto"/>
        </w:rPr>
        <w:t xml:space="preserve">. Notwithstanding any provision of the Plan to the contrary, in order to comply with the laws in countries other than the United States in which the Company and its Affiliates operate or have Employees,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subplans and/or modifications shall increase the share limitations contained in Sections 3.1 and 3.3 hereof;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 which the Shares are listed, quoted or traded or any other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3"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PROVISIONS APPLICABLE TO AWARDS INTENDED TO QUALIFY AS PERFORMANCE-BASED COMPENSATION.</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5.1.</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Committee, in its sole discretion, may determine at the time an Award is granted or at any time thereafter whether any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5.2.</w:t>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15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5.3.</w:t>
      </w:r>
      <w:r>
        <w:rPr>
          <w:rFonts w:ascii="Times New Roman" w:cs="Times New Roman" w:eastAsia="Times New Roman" w:hAnsi="Times New Roman"/>
          <w:sz w:val="22"/>
          <w:szCs w:val="22"/>
          <w:u w:val="single" w:color="auto"/>
          <w:color w:val="auto"/>
        </w:rPr>
        <w:t>Types of Awards</w:t>
      </w:r>
      <w:r>
        <w:rPr>
          <w:rFonts w:ascii="Times New Roman" w:cs="Times New Roman" w:eastAsia="Times New Roman" w:hAnsi="Times New Roman"/>
          <w:sz w:val="22"/>
          <w:szCs w:val="22"/>
          <w:color w:val="auto"/>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 Awards described in Article 10 hereof that vest or become exercisable or payable upon the attainment of one or more specified Performance Goals.</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5.4.</w:t>
      </w:r>
      <w:r>
        <w:rPr>
          <w:rFonts w:ascii="Times New Roman" w:cs="Times New Roman" w:eastAsia="Times New Roman" w:hAnsi="Times New Roman"/>
          <w:sz w:val="22"/>
          <w:szCs w:val="22"/>
          <w:u w:val="single" w:color="auto"/>
          <w:color w:val="auto"/>
        </w:rPr>
        <w:t>Procedures with Respect to Performance-Based Awards</w:t>
      </w:r>
      <w:r>
        <w:rPr>
          <w:rFonts w:ascii="Times New Roman" w:cs="Times New Roman" w:eastAsia="Times New Roman" w:hAnsi="Times New Roman"/>
          <w:sz w:val="22"/>
          <w:szCs w:val="22"/>
          <w:color w:val="auto"/>
        </w:rPr>
        <w:t>. To the extent necessary to comply with the requirements of Section 162(m)(4)(C) of the Code, with respect to any Award granted to one or more Eligible Individuals which is intended to qualify as Performance-Based Compensation, no later than ninety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Goals, and (d) specify the relationship between the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unless otherwise provided in an applicable Program or Award Agreement, the Committee shall have the right to reduce or eliminate (but not to increase) the amount payable at a given level of performance to take into account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0" w:name="page141"/>
    <w:bookmarkEnd w:id="140"/>
    <w:p>
      <w:pPr>
        <w:jc w:val="both"/>
        <w:spacing w:after="0" w:line="258" w:lineRule="auto"/>
        <w:rPr>
          <w:sz w:val="20"/>
          <w:szCs w:val="20"/>
          <w:color w:val="auto"/>
        </w:rPr>
      </w:pPr>
      <w:r>
        <w:rPr>
          <w:rFonts w:ascii="Times New Roman" w:cs="Times New Roman" w:eastAsia="Times New Roman" w:hAnsi="Times New Roman"/>
          <w:sz w:val="22"/>
          <w:szCs w:val="22"/>
          <w:color w:val="auto"/>
        </w:rPr>
        <w:t>additional factors that the Committee may deem relevant, including the assessment of individual or corporate performance for the Performance Period.</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5.5.</w:t>
      </w:r>
      <w:r>
        <w:rPr>
          <w:rFonts w:ascii="Times New Roman" w:cs="Times New Roman" w:eastAsia="Times New Roman" w:hAnsi="Times New Roman"/>
          <w:sz w:val="22"/>
          <w:szCs w:val="22"/>
          <w:u w:val="single" w:color="auto"/>
          <w:color w:val="auto"/>
        </w:rPr>
        <w:t>Payment of Performance-Based Awards</w:t>
      </w:r>
      <w:r>
        <w:rPr>
          <w:rFonts w:ascii="Times New Roman" w:cs="Times New Roman" w:eastAsia="Times New Roman" w:hAnsi="Times New Roman"/>
          <w:sz w:val="22"/>
          <w:szCs w:val="22"/>
          <w:color w:val="auto"/>
        </w:rPr>
        <w:t>. Unless otherwise provided in the applicable Program or Award Agreement or pursuant to Section 14.2 hereof and only to the extent otherwise permitted by Section 162(m)(4)(C) of the Code, as to an Award that is intended to qualify as Performance-Based Compensation, the Holder must be employed by the Company or an Affiliate throughout the applicable Performance Period. Unless otherwise provided in the applicable Performance Goals, Program or Award Agreement, a Holder shall be eligible to receive payment pursuant to such Awards for a Performance Period only if and to the extent the Performance Goals for such applicable Performance Period are achieved.</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5.6.</w:t>
      </w:r>
      <w:r>
        <w:rPr>
          <w:rFonts w:ascii="Times New Roman" w:cs="Times New Roman" w:eastAsia="Times New Roman" w:hAnsi="Times New Roman"/>
          <w:sz w:val="22"/>
          <w:szCs w:val="22"/>
          <w:u w:val="single" w:color="auto"/>
          <w:color w:val="auto"/>
        </w:rPr>
        <w:t>Additional Limitations</w:t>
      </w:r>
      <w:r>
        <w:rPr>
          <w:rFonts w:ascii="Times New Roman" w:cs="Times New Roman" w:eastAsia="Times New Roman" w:hAnsi="Times New Roman"/>
          <w:sz w:val="22"/>
          <w:szCs w:val="22"/>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GRANTING OF OPTIONS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22"/>
          <w:szCs w:val="22"/>
          <w:u w:val="single" w:color="auto"/>
          <w:color w:val="auto"/>
        </w:rPr>
        <w:t>Granting of Options to Eligible Individuals</w:t>
      </w:r>
      <w:r>
        <w:rPr>
          <w:rFonts w:ascii="Times New Roman" w:cs="Times New Roman" w:eastAsia="Times New Roman" w:hAnsi="Times New Roman"/>
          <w:sz w:val="22"/>
          <w:szCs w:val="22"/>
          <w:color w:val="auto"/>
        </w:rPr>
        <w:t>. The Administrator is authorized to grant Options to Eligible Individuals from time to time, in its sole discretion, on such terms and conditions as it may determine which shall not be inconsistent with the Plan.</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6.2.</w:t>
      </w:r>
      <w:r>
        <w:rPr>
          <w:rFonts w:ascii="Times New Roman" w:cs="Times New Roman" w:eastAsia="Times New Roman" w:hAnsi="Times New Roman"/>
          <w:sz w:val="22"/>
          <w:szCs w:val="22"/>
          <w:u w:val="single" w:color="auto"/>
          <w:color w:val="auto"/>
        </w:rPr>
        <w:t>Option Exercise Price</w:t>
      </w:r>
      <w:r>
        <w:rPr>
          <w:rFonts w:ascii="Times New Roman" w:cs="Times New Roman" w:eastAsia="Times New Roman" w:hAnsi="Times New Roman"/>
          <w:sz w:val="22"/>
          <w:szCs w:val="22"/>
          <w:color w:val="auto"/>
        </w:rPr>
        <w:t>. Except as provided in Article 14 hereof, the exercise price per Share subject to each Option shall be set by the Administrator, but shall not be less than one hundred percent (100%) of the Fair Market Value of a Share on the date the Option is granted.</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6.3.</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The term of each Option (the “</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xml:space="preserve">”) shall be set by the Administrator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Option Term shall not be more than ten (10) years from the date the Option is granted.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may extend the time period during which vested Options may be exercised following any Termination of Service of the Holder, and may amend any other term or condition of such Option relating to such a Termination of Service.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6.4.</w:t>
      </w:r>
      <w:r>
        <w:rPr>
          <w:rFonts w:ascii="Times New Roman" w:cs="Times New Roman" w:eastAsia="Times New Roman" w:hAnsi="Times New Roman"/>
          <w:sz w:val="22"/>
          <w:szCs w:val="22"/>
          <w:u w:val="single" w:color="auto"/>
          <w:color w:val="auto"/>
        </w:rPr>
        <w:t>Option 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jc w:val="both"/>
        <w:spacing w:after="0" w:line="239" w:lineRule="auto"/>
        <w:rPr>
          <w:sz w:val="20"/>
          <w:szCs w:val="20"/>
          <w:color w:val="auto"/>
        </w:rPr>
      </w:pPr>
      <w:r>
        <w:rPr>
          <w:rFonts w:ascii="Times New Roman" w:cs="Times New Roman" w:eastAsia="Times New Roman" w:hAnsi="Times New Roman"/>
          <w:sz w:val="22"/>
          <w:szCs w:val="22"/>
          <w:color w:val="auto"/>
        </w:rPr>
        <w:t>vesting may be based on service with the Company or any Affiliate, any of the Performance Criteria, or any other criteria selected by the Administrator. At any time after the grant of an Option, the Administrator may, in its sole discretion and subject to whatever terms and conditions it selects, accelerate the vesting of the Option, including following a Termination of Service; provided, that in no event shall an Option become exercisable following its expiration, termination or forfeiture.</w:t>
      </w:r>
    </w:p>
    <w:p>
      <w:pPr>
        <w:spacing w:after="0" w:line="180" w:lineRule="exact"/>
        <w:rPr>
          <w:sz w:val="20"/>
          <w:szCs w:val="20"/>
          <w:color w:val="auto"/>
        </w:rPr>
      </w:pPr>
    </w:p>
    <w:p>
      <w:pPr>
        <w:jc w:val="both"/>
        <w:ind w:firstLine="1505"/>
        <w:spacing w:after="0" w:line="244" w:lineRule="auto"/>
        <w:tabs>
          <w:tab w:leader="none" w:pos="20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6.5.</w:t>
      </w:r>
      <w:r>
        <w:rPr>
          <w:rFonts w:ascii="Times New Roman" w:cs="Times New Roman" w:eastAsia="Times New Roman" w:hAnsi="Times New Roman"/>
          <w:sz w:val="22"/>
          <w:szCs w:val="22"/>
          <w:u w:val="single" w:color="auto"/>
          <w:color w:val="auto"/>
        </w:rPr>
        <w:t>Substitution of Stock Appreciation Rights</w:t>
      </w:r>
      <w:r>
        <w:rPr>
          <w:rFonts w:ascii="Times New Roman" w:cs="Times New Roman" w:eastAsia="Times New Roman" w:hAnsi="Times New Roman"/>
          <w:sz w:val="22"/>
          <w:szCs w:val="22"/>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EXERCISE OF OPTIONS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7.1.</w:t>
      </w:r>
      <w:r>
        <w:rPr>
          <w:rFonts w:ascii="Times New Roman" w:cs="Times New Roman" w:eastAsia="Times New Roman" w:hAnsi="Times New Roman"/>
          <w:sz w:val="22"/>
          <w:szCs w:val="22"/>
          <w:u w:val="single" w:color="auto"/>
          <w:color w:val="auto"/>
        </w:rPr>
        <w:t>Partial Exercise</w:t>
      </w:r>
      <w:r>
        <w:rPr>
          <w:rFonts w:ascii="Times New Roman" w:cs="Times New Roman" w:eastAsia="Times New Roman" w:hAnsi="Times New Roman"/>
          <w:sz w:val="22"/>
          <w:szCs w:val="22"/>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7.2.</w:t>
      </w: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All or a portion of an exercisable Option shall be deemed exercised upon delivery of all of the following to the Secretary of the Company, or such other person or entity designated by the Administrator, or his, her or its office, as applicable:</w:t>
      </w:r>
    </w:p>
    <w:p>
      <w:pPr>
        <w:spacing w:after="0" w:line="173" w:lineRule="exact"/>
        <w:rPr>
          <w:sz w:val="20"/>
          <w:szCs w:val="20"/>
          <w:color w:val="auto"/>
        </w:rPr>
      </w:pPr>
    </w:p>
    <w:p>
      <w:pPr>
        <w:jc w:val="both"/>
        <w:ind w:firstLine="1505"/>
        <w:spacing w:after="0" w:line="244" w:lineRule="auto"/>
        <w:tabs>
          <w:tab w:leader="none" w:pos="20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representations and documents as the Administrator, in its sole discretion, deems necessary or advisable to effect compliance with all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Option shall be exercised pursuant to Section 12.3 hereof by any person or persons other than the Holder, appropriate proof of the right of such person or persons to exercise the Option, as determined in the sole discretion of the Administrator;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ind w:firstLine="1505"/>
        <w:spacing w:after="0" w:line="244" w:lineRule="auto"/>
        <w:tabs>
          <w:tab w:leader="none" w:pos="203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payment of the exercise price and applicable withholding taxes to the stock administrator of the Company for the shares with respect to which the Option, or portion thereof, is exercised, in a manner permitted by Section 12.1 and 12.2 hereof.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RESTRICTED STOCK</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8.1.</w:t>
      </w:r>
      <w:r>
        <w:rPr>
          <w:rFonts w:ascii="Times New Roman" w:cs="Times New Roman" w:eastAsia="Times New Roman" w:hAnsi="Times New Roman"/>
          <w:sz w:val="22"/>
          <w:szCs w:val="22"/>
          <w:u w:val="single" w:color="auto"/>
          <w:color w:val="auto"/>
        </w:rPr>
        <w:t>Award of Restricted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505"/>
        <w:spacing w:after="0" w:line="239"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Administrator shall establish the purchase price, if any, and form of payment for Restricted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8.2.</w:t>
      </w:r>
      <w:r>
        <w:rPr>
          <w:rFonts w:ascii="Times New Roman" w:cs="Times New Roman" w:eastAsia="Times New Roman" w:hAnsi="Times New Roman"/>
          <w:sz w:val="22"/>
          <w:szCs w:val="22"/>
          <w:u w:val="single" w:color="auto"/>
          <w:color w:val="auto"/>
        </w:rPr>
        <w:t>Rights as Stockholders</w:t>
      </w:r>
      <w:r>
        <w:rPr>
          <w:rFonts w:ascii="Times New Roman" w:cs="Times New Roman" w:eastAsia="Times New Roman" w:hAnsi="Times New Roman"/>
          <w:sz w:val="22"/>
          <w:szCs w:val="22"/>
          <w:color w:val="auto"/>
        </w:rPr>
        <w:t xml:space="preserve">. Subject to Section 8.4 hereof,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sole discretion of the Administrator, any extraordinary distributions with respect to the Shares shall be subject to the restrictions set forth in Section 8.3 hereof. In addition, with respect to a share of Restricted Stock with performance-based vesting, dividends which are paid prior to vesting shall only be paid out to the Holder to the extent that performance-based vesting conditions are subsequently satisfied and the share of Restricted Stock vests.</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8.3.</w:t>
      </w: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with the Company, the Performance Criteria, Company or Affiliate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and/or the Award Agreement. Restricted Stock may not be sold or encumbered until all restrictions are terminated or expire.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8.4.</w:t>
      </w:r>
      <w:r>
        <w:rPr>
          <w:rFonts w:ascii="Times New Roman" w:cs="Times New Roman" w:eastAsia="Times New Roman" w:hAnsi="Times New Roman"/>
          <w:sz w:val="22"/>
          <w:szCs w:val="22"/>
          <w:u w:val="single" w:color="auto"/>
          <w:color w:val="auto"/>
        </w:rPr>
        <w:t>Repurchase or Forfeiture of Restricted Stock</w:t>
      </w:r>
      <w:r>
        <w:rPr>
          <w:rFonts w:ascii="Times New Roman" w:cs="Times New Roman" w:eastAsia="Times New Roman" w:hAnsi="Times New Roman"/>
          <w:sz w:val="22"/>
          <w:szCs w:val="22"/>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8.5.</w:t>
      </w:r>
      <w:r>
        <w:rPr>
          <w:rFonts w:ascii="Times New Roman" w:cs="Times New Roman" w:eastAsia="Times New Roman" w:hAnsi="Times New Roman"/>
          <w:sz w:val="22"/>
          <w:szCs w:val="22"/>
          <w:u w:val="single" w:color="auto"/>
          <w:color w:val="auto"/>
        </w:rPr>
        <w:t>Certificates for Restricted Stock</w:t>
      </w:r>
      <w:r>
        <w:rPr>
          <w:rFonts w:ascii="Times New Roman" w:cs="Times New Roman" w:eastAsia="Times New Roman" w:hAnsi="Times New Roman"/>
          <w:sz w:val="22"/>
          <w:szCs w:val="22"/>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its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8.6.</w:t>
      </w:r>
      <w:r>
        <w:rPr>
          <w:rFonts w:ascii="Times New Roman" w:cs="Times New Roman" w:eastAsia="Times New Roman" w:hAnsi="Times New Roman"/>
          <w:sz w:val="22"/>
          <w:szCs w:val="22"/>
          <w:u w:val="single" w:color="auto"/>
          <w:color w:val="auto"/>
        </w:rPr>
        <w:t>Section 83(b) Election</w:t>
      </w:r>
      <w:r>
        <w:rPr>
          <w:rFonts w:ascii="Times New Roman" w:cs="Times New Roman" w:eastAsia="Times New Roman" w:hAnsi="Times New Roman"/>
          <w:sz w:val="22"/>
          <w:szCs w:val="22"/>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RESTRICTED STOCK UNITS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9.1.</w:t>
      </w: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9.2.</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Except as otherwise provided herein, the term of a Restricted Stock Unit award shall be set by the Administrator in its sole discretion.</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9.3.</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value of the consideration shall not be less than the par value of a Share, unless otherwise permitted by Applicable Law.</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9.4.</w:t>
      </w: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9.5.</w:t>
      </w:r>
      <w:r>
        <w:rPr>
          <w:rFonts w:ascii="Times New Roman" w:cs="Times New Roman" w:eastAsia="Times New Roman" w:hAnsi="Times New Roman"/>
          <w:sz w:val="22"/>
          <w:szCs w:val="22"/>
          <w:u w:val="single" w:color="auto"/>
          <w:color w:val="auto"/>
        </w:rPr>
        <w:t>Maturity and Payment</w:t>
      </w:r>
      <w:r>
        <w:rPr>
          <w:rFonts w:ascii="Times New Roman" w:cs="Times New Roman" w:eastAsia="Times New Roman" w:hAnsi="Times New Roman"/>
          <w:sz w:val="22"/>
          <w:szCs w:val="22"/>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fifteenth (15th) day of the third (3rd) month following the end of calendar year in which the Restricted Stock Unit vests; or (b) the fifteenth (15th) day of the third (3rd) month following the end of the Company’s fiscal year in which the Restricted Stock Unit vests. On the maturity date, the Company shall, subject to Section 12.4(e) hereof,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9.6.</w:t>
      </w:r>
      <w:r>
        <w:rPr>
          <w:rFonts w:ascii="Times New Roman" w:cs="Times New Roman" w:eastAsia="Times New Roman" w:hAnsi="Times New Roman"/>
          <w:sz w:val="21"/>
          <w:szCs w:val="21"/>
          <w:u w:val="single" w:color="auto"/>
          <w:color w:val="auto"/>
        </w:rPr>
        <w:t>Payment upon Termination of Service</w:t>
      </w:r>
      <w:r>
        <w:rPr>
          <w:rFonts w:ascii="Times New Roman" w:cs="Times New Roman" w:eastAsia="Times New Roman" w:hAnsi="Times New Roman"/>
          <w:sz w:val="21"/>
          <w:szCs w:val="21"/>
          <w:color w:val="auto"/>
        </w:rPr>
        <w:t xml:space="preserve">. An Award of Restricted Stock Units shall only be payable while the Holder is an Employee;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9.7.</w:t>
      </w:r>
      <w:r>
        <w:rPr>
          <w:rFonts w:ascii="Times New Roman" w:cs="Times New Roman" w:eastAsia="Times New Roman" w:hAnsi="Times New Roman"/>
          <w:sz w:val="22"/>
          <w:szCs w:val="22"/>
          <w:u w:val="single" w:color="auto"/>
          <w:color w:val="auto"/>
        </w:rPr>
        <w:t>No Rights as a Stockholder</w:t>
      </w:r>
      <w:r>
        <w:rPr>
          <w:rFonts w:ascii="Times New Roman" w:cs="Times New Roman" w:eastAsia="Times New Roman" w:hAnsi="Times New Roman"/>
          <w:sz w:val="22"/>
          <w:szCs w:val="22"/>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9.8.</w:t>
      </w: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Subject to Section 10.2 hereof,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33"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AWARD OF PERFORMANCE AWARDS, DIVIDEND EQUIVALENTS, STOCK PAYMENTS, DEFERRED STOCK, DEFERRED STOCK UNITS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10.1.</w:t>
      </w: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Section 10.1(a) hereof,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 hereof.</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10.2.</w:t>
      </w: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 Dividend Equivalents shall be payable with respect to Options or Stock Appreciation Rights.</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10.3.</w:t>
      </w:r>
      <w:r>
        <w:rPr>
          <w:rFonts w:ascii="Times New Roman" w:cs="Times New Roman" w:eastAsia="Times New Roman" w:hAnsi="Times New Roman"/>
          <w:sz w:val="22"/>
          <w:szCs w:val="22"/>
          <w:u w:val="single" w:color="auto"/>
          <w:color w:val="auto"/>
        </w:rPr>
        <w:t>Stock Payments</w:t>
      </w:r>
      <w:r>
        <w:rPr>
          <w:rFonts w:ascii="Times New Roman" w:cs="Times New Roman" w:eastAsia="Times New Roman" w:hAnsi="Times New Roman"/>
          <w:sz w:val="22"/>
          <w:szCs w:val="22"/>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6" w:name="page147"/>
    <w:bookmarkEnd w:id="146"/>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10.4.</w:t>
      </w:r>
      <w:r>
        <w:rPr>
          <w:rFonts w:ascii="Times New Roman" w:cs="Times New Roman" w:eastAsia="Times New Roman" w:hAnsi="Times New Roman"/>
          <w:sz w:val="22"/>
          <w:szCs w:val="22"/>
          <w:u w:val="single" w:color="auto"/>
          <w:color w:val="auto"/>
        </w:rPr>
        <w:t>Deferred Stock</w:t>
      </w:r>
      <w:r>
        <w:rPr>
          <w:rFonts w:ascii="Times New Roman" w:cs="Times New Roman" w:eastAsia="Times New Roman" w:hAnsi="Times New Roman"/>
          <w:sz w:val="22"/>
          <w:szCs w:val="22"/>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10.5.</w:t>
      </w:r>
      <w:r>
        <w:rPr>
          <w:rFonts w:ascii="Times New Roman" w:cs="Times New Roman" w:eastAsia="Times New Roman" w:hAnsi="Times New Roman"/>
          <w:sz w:val="21"/>
          <w:szCs w:val="21"/>
          <w:u w:val="single" w:color="auto"/>
          <w:color w:val="auto"/>
        </w:rPr>
        <w:t>Deferred Stock Units</w:t>
      </w:r>
      <w:r>
        <w:rPr>
          <w:rFonts w:ascii="Times New Roman" w:cs="Times New Roman" w:eastAsia="Times New Roman" w:hAnsi="Times New Roman"/>
          <w:sz w:val="21"/>
          <w:szCs w:val="21"/>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of Common Stock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10.6.</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a Performance Award, Dividend Equivalent award, Stock Payment award, Deferred Stock award and/or Deferred Stock Unit award shall be set by the Administrator in its sole discretion.</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10.7.</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The Administrator may establish the purchase price of a Performance Award, Shares distributed as a Stock Payment award, shares of Deferred Stock or Shares distributed pursuant to a Deferred Stock Unit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value of the consideration shall not be less than the par value of a Share, unless otherwise permitted by Applicable Law.</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10.8.</w:t>
      </w:r>
      <w:r>
        <w:rPr>
          <w:rFonts w:ascii="Times New Roman" w:cs="Times New Roman" w:eastAsia="Times New Roman" w:hAnsi="Times New Roman"/>
          <w:sz w:val="21"/>
          <w:szCs w:val="21"/>
          <w:u w:val="single" w:color="auto"/>
          <w:color w:val="auto"/>
        </w:rPr>
        <w:t>Termination of Service</w:t>
      </w:r>
      <w:r>
        <w:rPr>
          <w:rFonts w:ascii="Times New Roman" w:cs="Times New Roman" w:eastAsia="Times New Roman" w:hAnsi="Times New Roman"/>
          <w:sz w:val="21"/>
          <w:szCs w:val="21"/>
          <w:color w:val="auto"/>
        </w:rPr>
        <w:t>. A Performance Award, Stock Payment award, Dividend Equivalent award, Deferred Stock award and/or Deferred Stock Unit award is distributable only while the Holder is an Employee.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33" w:lineRule="exact"/>
        <w:rPr>
          <w:sz w:val="20"/>
          <w:szCs w:val="20"/>
          <w:color w:val="auto"/>
        </w:rPr>
      </w:pPr>
    </w:p>
    <w:p>
      <w:pPr>
        <w:ind w:left="760" w:right="3340" w:firstLine="2591"/>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AWARD OF STOCK APPRECIATION RIGHTS </w:t>
      </w:r>
      <w:r>
        <w:rPr>
          <w:rFonts w:ascii="Times New Roman" w:cs="Times New Roman" w:eastAsia="Times New Roman" w:hAnsi="Times New Roman"/>
          <w:sz w:val="22"/>
          <w:szCs w:val="22"/>
          <w:color w:val="auto"/>
        </w:rPr>
        <w:t>11.1.</w:t>
      </w:r>
      <w:r>
        <w:rPr>
          <w:rFonts w:ascii="Times New Roman" w:cs="Times New Roman" w:eastAsia="Times New Roman" w:hAnsi="Times New Roman"/>
          <w:sz w:val="22"/>
          <w:szCs w:val="22"/>
          <w:u w:val="single" w:color="auto"/>
          <w:color w:val="auto"/>
        </w:rPr>
        <w:t>Grant of Stock Appreciation Rights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firstLine="1505"/>
        <w:spacing w:after="0" w:line="258" w:lineRule="auto"/>
        <w:tabs>
          <w:tab w:leader="none" w:pos="203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is authorized to grant Stock Appreciation Rights to Eligible Individuals from time to time, in its sole discretion, on such terms and conditions as it may determine consistent with the Plan.</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or in Section 14.2 hereof, the exercise price per Share subject to each Stock Appreciation Right shall be set by the Administrator, but shall not be less than one hundred percent (100%) of the Fair Market Value on the date the Stock Appreciation Right is granted.</w:t>
      </w:r>
    </w:p>
    <w:p>
      <w:pPr>
        <w:spacing w:after="0" w:line="178"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Section 11.1(b) hereof to the contrary, in the case of a Stock Appreciation Right that is a Substitute Award, the price per Share of the Shares subject to such Stock Appreciation Right may be less than one hundred percent (100%) of the Fair Market Value per share on the date of grant;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excess of: (i) the aggregate Fair Market Value (as of the date such Substitute Award is granted) of the shares subject to the Substitute Award, over</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5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11.2.</w:t>
      </w:r>
      <w:r>
        <w:rPr>
          <w:rFonts w:ascii="Times New Roman" w:cs="Times New Roman" w:eastAsia="Times New Roman" w:hAnsi="Times New Roman"/>
          <w:sz w:val="22"/>
          <w:szCs w:val="22"/>
          <w:u w:val="single" w:color="auto"/>
          <w:color w:val="auto"/>
        </w:rPr>
        <w:t>Stock Appreciation Right 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any of the Performance Criteria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a Stock Appreciation Right which is unexercisable at Termination of Service shall thereafter become exercisable, except as may be otherwise provided by the Administrator either in the applicable Program or Award Agreement or by action of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8" w:name="page149"/>
    <w:bookmarkEnd w:id="14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Administrator following the grant of the Stock Appreciation Right, including following a Termination of Service; provided, that in no event shall a Stock Appreciation Right become exercisable following its expiration, termination or forfeiture.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11.3.</w:t>
      </w: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173" w:lineRule="exact"/>
        <w:rPr>
          <w:sz w:val="20"/>
          <w:szCs w:val="20"/>
          <w:color w:val="auto"/>
        </w:rPr>
      </w:pPr>
    </w:p>
    <w:p>
      <w:pPr>
        <w:jc w:val="both"/>
        <w:ind w:firstLine="1505"/>
        <w:spacing w:after="0" w:line="244"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Stock Appreciation Right shall be exercised pursuant to this Section 11.3 hereof by any person or persons other than the Holder, appropriate proof of the right of such person or persons to exercise the Stock Appreciation Right.</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11.4.</w:t>
      </w:r>
      <w:r>
        <w:rPr>
          <w:rFonts w:ascii="Times New Roman" w:cs="Times New Roman" w:eastAsia="Times New Roman" w:hAnsi="Times New Roman"/>
          <w:sz w:val="21"/>
          <w:szCs w:val="21"/>
          <w:u w:val="single" w:color="auto"/>
          <w:color w:val="auto"/>
        </w:rPr>
        <w:t>Stock Appreciation Right Term</w:t>
      </w:r>
      <w:r>
        <w:rPr>
          <w:rFonts w:ascii="Times New Roman" w:cs="Times New Roman" w:eastAsia="Times New Roman" w:hAnsi="Times New Roman"/>
          <w:sz w:val="21"/>
          <w:szCs w:val="21"/>
          <w:color w:val="auto"/>
        </w:rPr>
        <w:t>. The term of each Stock Appreciation Right (the “</w:t>
      </w:r>
      <w:r>
        <w:rPr>
          <w:rFonts w:ascii="Times New Roman" w:cs="Times New Roman" w:eastAsia="Times New Roman" w:hAnsi="Times New Roman"/>
          <w:sz w:val="21"/>
          <w:szCs w:val="21"/>
          <w:u w:val="single" w:color="auto"/>
          <w:color w:val="auto"/>
        </w:rPr>
        <w:t>Stock Appreciation Right Term</w:t>
      </w:r>
      <w:r>
        <w:rPr>
          <w:rFonts w:ascii="Times New Roman" w:cs="Times New Roman" w:eastAsia="Times New Roman" w:hAnsi="Times New Roman"/>
          <w:sz w:val="21"/>
          <w:szCs w:val="21"/>
          <w:color w:val="auto"/>
        </w:rPr>
        <w:t xml:space="preserve">”) shall be set by the Administrator in its sole discretion;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may extend the time period during which vested Stock Appreciation Rights may be exercised following any Termination of Service of the Holder, and may amend any other term or condition of such Stock Appreciation Right relating to such a Termination of Service.</w:t>
      </w:r>
    </w:p>
    <w:p>
      <w:pPr>
        <w:spacing w:after="0" w:line="17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11.5.</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TERMS OF AWARDS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12.1.</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The Administrator shall determine the methods by which payments by any Holder with respect to any Awards granted under the Plan shall be made, including, without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7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12.2.</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allow a Holder to satisfy such obligations by any payment means described in Section 12.1 hereof, including without limitation, by allowing such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12.3.</w:t>
      </w:r>
      <w:r>
        <w:rPr>
          <w:rFonts w:ascii="Times New Roman" w:cs="Times New Roman" w:eastAsia="Times New Roman" w:hAnsi="Times New Roman"/>
          <w:sz w:val="22"/>
          <w:szCs w:val="22"/>
          <w:u w:val="single" w:color="auto"/>
          <w:color w:val="auto"/>
        </w:rPr>
        <w:t>Transferability of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Sections 12.3(b) and 12.3(c) hereof:</w:t>
      </w:r>
    </w:p>
    <w:p>
      <w:pPr>
        <w:spacing w:after="0" w:line="20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80"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Award or interest or right therein shall be liable for the debts, contracts or engagements of the Holder or the Holder’s successors in interest or shall be subject to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36" w:lineRule="auto"/>
        <w:rPr>
          <w:sz w:val="20"/>
          <w:szCs w:val="20"/>
          <w:color w:val="auto"/>
        </w:rPr>
      </w:pPr>
      <w:r>
        <w:rPr>
          <w:rFonts w:ascii="Times New Roman" w:cs="Times New Roman" w:eastAsia="Times New Roman" w:hAnsi="Times New Roman"/>
          <w:sz w:val="22"/>
          <w:szCs w:val="22"/>
          <w:color w:val="auto"/>
        </w:rPr>
        <w:t>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w:t>
      </w:r>
    </w:p>
    <w:p>
      <w:pPr>
        <w:spacing w:after="0" w:line="181"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(iii)During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77" w:lineRule="exact"/>
        <w:rPr>
          <w:sz w:val="20"/>
          <w:szCs w:val="20"/>
          <w:color w:val="auto"/>
        </w:rPr>
      </w:pPr>
    </w:p>
    <w:p>
      <w:pPr>
        <w:jc w:val="both"/>
        <w:ind w:firstLine="1505"/>
        <w:spacing w:after="0" w:line="234" w:lineRule="auto"/>
        <w:tabs>
          <w:tab w:leader="none" w:pos="203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12.3(a) hereof, the Administrator, in its sole discretion, may determine to permit a Holder or a Permitted Transferee of such Holder to transfer an Award to any one or more Permitted Transferees, subject to the following terms and conditions: (i) an Award transferred to a Permitted Transferee shall not be assignable or transferable by the Permitted Transferee (other than to another Permitted Transferee of the applicable Holder) other than by will or the laws of descent and distribution; (ii) an Award transferred to a Permitted Transferee shall continue to be subject to all the terms and conditions of the Award as applicable to the original Holder (other than the ability to further transfer the Award); and (iii) the Holder (or transferring Permitted Transferee)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w:t>
      </w:r>
    </w:p>
    <w:p>
      <w:pPr>
        <w:spacing w:after="0" w:line="179"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12.3(a) hereof,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fifty percent (50%) of the Holder’s interest in the Award shall not be effective without the prior written or electronic consent of the Holder’s spouse or domestic partner, as applicable.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change or revocation is filed with the Administrator prior to the Holder’s death.</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ind w:left="760"/>
        <w:spacing w:after="0"/>
        <w:rPr>
          <w:sz w:val="20"/>
          <w:szCs w:val="20"/>
          <w:color w:val="auto"/>
        </w:rPr>
      </w:pPr>
      <w:r>
        <w:rPr>
          <w:rFonts w:ascii="Times New Roman" w:cs="Times New Roman" w:eastAsia="Times New Roman" w:hAnsi="Times New Roman"/>
          <w:sz w:val="22"/>
          <w:szCs w:val="22"/>
          <w:color w:val="auto"/>
        </w:rPr>
        <w:t>12.4.</w:t>
      </w:r>
      <w:r>
        <w:rPr>
          <w:rFonts w:ascii="Times New Roman" w:cs="Times New Roman" w:eastAsia="Times New Roman" w:hAnsi="Times New Roman"/>
          <w:sz w:val="22"/>
          <w:szCs w:val="22"/>
          <w:u w:val="single" w:color="auto"/>
          <w:color w:val="auto"/>
        </w:rPr>
        <w:t>Conditions to Issuance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73" w:lineRule="exact"/>
        <w:rPr>
          <w:rFonts w:ascii="Times New Roman" w:cs="Times New Roman" w:eastAsia="Times New Roman" w:hAnsi="Times New Roman"/>
          <w:sz w:val="22"/>
          <w:szCs w:val="22"/>
          <w:color w:val="auto"/>
        </w:rPr>
      </w:pPr>
    </w:p>
    <w:p>
      <w:pPr>
        <w:ind w:right="20" w:firstLine="1505"/>
        <w:spacing w:after="0" w:line="282" w:lineRule="auto"/>
        <w:tabs>
          <w:tab w:leader="none" w:pos="203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34"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unless otherwise determined by the Administrator or required by any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12.5.</w:t>
      </w:r>
      <w:r>
        <w:rPr>
          <w:rFonts w:ascii="Times New Roman" w:cs="Times New Roman" w:eastAsia="Times New Roman" w:hAnsi="Times New Roman"/>
          <w:sz w:val="22"/>
          <w:szCs w:val="22"/>
          <w:u w:val="single" w:color="auto"/>
          <w:color w:val="auto"/>
        </w:rPr>
        <w:t>Forfeiture and Claw-Back Provisions</w:t>
      </w:r>
      <w:r>
        <w:rPr>
          <w:rFonts w:ascii="Times New Roman" w:cs="Times New Roman" w:eastAsia="Times New Roman" w:hAnsi="Times New Roman"/>
          <w:sz w:val="22"/>
          <w:szCs w:val="22"/>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73" w:lineRule="exact"/>
        <w:rPr>
          <w:sz w:val="20"/>
          <w:szCs w:val="20"/>
          <w:color w:val="auto"/>
        </w:rPr>
      </w:pPr>
    </w:p>
    <w:p>
      <w:pPr>
        <w:jc w:val="both"/>
        <w:ind w:firstLine="1505"/>
        <w:spacing w:after="0" w:line="248" w:lineRule="auto"/>
        <w:tabs>
          <w:tab w:leader="none" w:pos="203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Administrator, or as set forth in a written agreement relating to such Award between the Company and the Holder); and</w:t>
      </w:r>
    </w:p>
    <w:p>
      <w:pPr>
        <w:spacing w:after="0" w:line="206" w:lineRule="exact"/>
        <w:rPr>
          <w:sz w:val="20"/>
          <w:szCs w:val="20"/>
          <w:color w:val="auto"/>
        </w:rPr>
      </w:pPr>
    </w:p>
    <w:p>
      <w:pPr>
        <w:jc w:val="both"/>
        <w:ind w:firstLine="1505"/>
        <w:spacing w:after="0" w:line="236" w:lineRule="auto"/>
        <w:tabs>
          <w:tab w:leader="none" w:pos="203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12.6.</w:t>
      </w:r>
      <w:r>
        <w:rPr>
          <w:rFonts w:ascii="Times New Roman" w:cs="Times New Roman" w:eastAsia="Times New Roman" w:hAnsi="Times New Roman"/>
          <w:sz w:val="21"/>
          <w:szCs w:val="21"/>
          <w:u w:val="single" w:color="auto"/>
          <w:color w:val="auto"/>
        </w:rPr>
        <w:t>Repricing</w:t>
      </w:r>
      <w:r>
        <w:rPr>
          <w:rFonts w:ascii="Times New Roman" w:cs="Times New Roman" w:eastAsia="Times New Roman" w:hAnsi="Times New Roman"/>
          <w:sz w:val="21"/>
          <w:szCs w:val="21"/>
          <w:color w:val="auto"/>
        </w:rPr>
        <w:t>. The Administrator shall, without the approval of the stockholders of the Company, have the authority to</w:t>
      </w:r>
    </w:p>
    <w:p>
      <w:pPr>
        <w:spacing w:after="0" w:line="26" w:lineRule="exact"/>
        <w:rPr>
          <w:sz w:val="20"/>
          <w:szCs w:val="20"/>
          <w:color w:val="auto"/>
        </w:rPr>
      </w:pPr>
    </w:p>
    <w:p>
      <w:pPr>
        <w:jc w:val="both"/>
        <w:ind w:firstLine="8"/>
        <w:spacing w:after="0" w:line="235" w:lineRule="auto"/>
        <w:tabs>
          <w:tab w:leader="none" w:pos="27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in its sole discretion.</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12.7.</w:t>
      </w:r>
      <w:r>
        <w:rPr>
          <w:rFonts w:ascii="Times New Roman" w:cs="Times New Roman" w:eastAsia="Times New Roman" w:hAnsi="Times New Roman"/>
          <w:sz w:val="22"/>
          <w:szCs w:val="22"/>
          <w:u w:val="single" w:color="auto"/>
          <w:color w:val="auto"/>
        </w:rPr>
        <w:t>Leave of Absence</w:t>
      </w:r>
      <w:r>
        <w:rPr>
          <w:rFonts w:ascii="Times New Roman" w:cs="Times New Roman" w:eastAsia="Times New Roman" w:hAnsi="Times New Roman"/>
          <w:sz w:val="22"/>
          <w:szCs w:val="22"/>
          <w:color w:val="auto"/>
        </w:rPr>
        <w:t>. Unless the Administrator provides otherwise, vesting of Awards granted hereunder shall be suspended during any unpaid leave of absence. A Holder shall not cease to be considered an Employee in the case of any (a) leave of absence approved by the Company, (b) transfer between locations of the Company or between the Company and any of its Affiliates or any successor thereof, or (c) change in status, provided that such change does not affect the specific terms applying to the Holder’s Award.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3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13.1.</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The Committee shall administer the Plan.</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13.2.</w:t>
      </w:r>
      <w:r>
        <w:rPr>
          <w:rFonts w:ascii="Times New Roman" w:cs="Times New Roman" w:eastAsia="Times New Roman" w:hAnsi="Times New Roman"/>
          <w:sz w:val="21"/>
          <w:szCs w:val="21"/>
          <w:u w:val="single" w:color="auto"/>
          <w:color w:val="auto"/>
        </w:rPr>
        <w:t>Duties and Powers of Administrator</w:t>
      </w:r>
      <w:r>
        <w:rPr>
          <w:rFonts w:ascii="Times New Roman" w:cs="Times New Roman" w:eastAsia="Times New Roman" w:hAnsi="Times New Roman"/>
          <w:sz w:val="21"/>
          <w:szCs w:val="21"/>
          <w:color w:val="auto"/>
        </w:rPr>
        <w:t xml:space="preserve">. It shall be the duty of the Administrator to conduct the general administration of the Plan in accordance with its provisions. The Administrator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rights or obligations of the Holder of the Award that is the subject of any such Program or Award Agreement are not affected materially and adversely by such amendment, unless the consent of the Holder is obtained or such amendment is otherwise permitted under Section 14.10 hereof. Any such grant or award under the Plan need not be the same with respect to each Holder. In its sole discretion, the Board may at any time and from time to time exercise any and all rights and duties of the Committee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 Notwithstanding the foregoing, any grants of Awards under the Plan made by the Board must be approved by the majority of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spacing w:after="0" w:line="258" w:lineRule="auto"/>
        <w:rPr>
          <w:sz w:val="20"/>
          <w:szCs w:val="20"/>
          <w:color w:val="auto"/>
        </w:rPr>
      </w:pPr>
      <w:r>
        <w:rPr>
          <w:rFonts w:ascii="Times New Roman" w:cs="Times New Roman" w:eastAsia="Times New Roman" w:hAnsi="Times New Roman"/>
          <w:sz w:val="22"/>
          <w:szCs w:val="22"/>
          <w:color w:val="auto"/>
        </w:rPr>
        <w:t>Company’s independent directors (as defined in Rule 5605(a)(2) of the Nasdaq Listing Rules) in order to comply with Nasdaq Listing Rule 5635(c).</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13.3.</w:t>
      </w:r>
      <w:r>
        <w:rPr>
          <w:rFonts w:ascii="Times New Roman" w:cs="Times New Roman" w:eastAsia="Times New Roman" w:hAnsi="Times New Roman"/>
          <w:sz w:val="22"/>
          <w:szCs w:val="22"/>
          <w:u w:val="single" w:color="auto"/>
          <w:color w:val="auto"/>
        </w:rPr>
        <w:t>Action by the Committee</w:t>
      </w:r>
      <w:r>
        <w:rPr>
          <w:rFonts w:ascii="Times New Roman" w:cs="Times New Roman" w:eastAsia="Times New Roman" w:hAnsi="Times New Roman"/>
          <w:sz w:val="22"/>
          <w:szCs w:val="22"/>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13.4.</w:t>
      </w:r>
      <w:r>
        <w:rPr>
          <w:rFonts w:ascii="Times New Roman" w:cs="Times New Roman" w:eastAsia="Times New Roman" w:hAnsi="Times New Roman"/>
          <w:sz w:val="22"/>
          <w:szCs w:val="22"/>
          <w:u w:val="single" w:color="auto"/>
          <w:color w:val="auto"/>
        </w:rPr>
        <w:t>Authority of Administrator</w:t>
      </w:r>
      <w:r>
        <w:rPr>
          <w:rFonts w:ascii="Times New Roman" w:cs="Times New Roman" w:eastAsia="Times New Roman" w:hAnsi="Times New Roman"/>
          <w:sz w:val="22"/>
          <w:szCs w:val="22"/>
          <w:color w:val="auto"/>
        </w:rPr>
        <w:t>. Subject to the Company’s Bylaws, the Committee’s Charter and any specific designation in the Plan, the Administrator has the exclusive power, authority and sole discretion to:</w:t>
      </w:r>
    </w:p>
    <w:p>
      <w:pPr>
        <w:spacing w:after="0" w:line="158" w:lineRule="exact"/>
        <w:rPr>
          <w:sz w:val="20"/>
          <w:szCs w:val="20"/>
          <w:color w:val="auto"/>
        </w:rPr>
      </w:pPr>
    </w:p>
    <w:p>
      <w:pPr>
        <w:ind w:left="2040" w:hanging="535"/>
        <w:spacing w:after="0"/>
        <w:tabs>
          <w:tab w:leader="none" w:pos="20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Eligible Individuals to receive Awards;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type or types of Awards to be granted to each Eligible Individual;</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number of Awards to be granted and the number of Shares to which an Award will relate;</w:t>
      </w:r>
    </w:p>
    <w:p>
      <w:pPr>
        <w:spacing w:after="0" w:line="217"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the form of each Award Agreement, which need not be identical for each Holder;</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Decide all other matters that must be determined in connection with an Award;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adopt, or revise any rules and regulations as it may deem necessary or advisable to administer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the terms of, and any matter arising pursuant to, the Plan, any Program or any Award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ind w:firstLine="1505"/>
        <w:spacing w:after="0" w:line="258"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other decisions and determinations that may be required pursuant to the Plan or as the Administrator deems necessary or advisable to administer the Plan; and</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wholly or partially the vesting or lapse of restrictions of any Award or portion thereof at any time after the grant of an Award, subject to whatever terms and conditions it selects and Sections 3.4 and 14.2(d) hereof.</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13.5.</w:t>
      </w:r>
      <w:r>
        <w:rPr>
          <w:rFonts w:ascii="Times New Roman" w:cs="Times New Roman" w:eastAsia="Times New Roman" w:hAnsi="Times New Roman"/>
          <w:sz w:val="22"/>
          <w:szCs w:val="22"/>
          <w:u w:val="single" w:color="auto"/>
          <w:color w:val="auto"/>
        </w:rPr>
        <w:t>Decisions Binding</w:t>
      </w:r>
      <w:r>
        <w:rPr>
          <w:rFonts w:ascii="Times New Roman" w:cs="Times New Roman" w:eastAsia="Times New Roman" w:hAnsi="Times New Roman"/>
          <w:sz w:val="22"/>
          <w:szCs w:val="22"/>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14.1.</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Except as otherwise provided in this Section 14.1, the Plan may be wholly or partially amended or otherwise modified, suspended or terminated at any time or from time to time by the Board or the Committee. Except as provided in Section 14.10 hereof, no amendment, suspension or termination of the Plan shall, without the consent of the Holder, materially and adversely affect any rights or obligations under any Award theretofore granted or awarded, unless the Award itself otherwise expressly so provides. No Awards may be granted or awarded during any period of suspension or after termination of the Plan.</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14.2.</w:t>
      </w:r>
      <w:r>
        <w:rPr>
          <w:rFonts w:ascii="Times New Roman" w:cs="Times New Roman" w:eastAsia="Times New Roman" w:hAnsi="Times New Roman"/>
          <w:sz w:val="22"/>
          <w:szCs w:val="22"/>
          <w:u w:val="single" w:color="auto"/>
          <w:color w:val="auto"/>
        </w:rPr>
        <w:t>Changes in Common Stock or Assets of the Company, Acquisition or Liquidation of the Company and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Corporate Events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505"/>
        <w:spacing w:after="0" w:line="234"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hereof on the maximum number and kind of shares which may be issued under the Plan); (ii) the number and kind of shares of Common Stock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transaction or event described in Section 14.2(a) hereof or any unusual or nonrecurring transactions or events affecting the Company, any Affiliate of the Company, or the financial statements of the Company or any Affiliate, or of changes in Applicable Law, the Administrator, in its sole discretion, and on such terms and conditions as it deems appropriate, either by the terms of the Award or by action taken prior to the occurrence of such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jc w:val="both"/>
        <w:spacing w:after="0" w:line="239" w:lineRule="auto"/>
        <w:rPr>
          <w:sz w:val="20"/>
          <w:szCs w:val="20"/>
          <w:color w:val="auto"/>
        </w:rPr>
      </w:pPr>
      <w:r>
        <w:rPr>
          <w:rFonts w:ascii="Times New Roman" w:cs="Times New Roman" w:eastAsia="Times New Roman" w:hAnsi="Times New Roman"/>
          <w:sz w:val="22"/>
          <w:szCs w:val="22"/>
          <w:color w:val="auto"/>
        </w:rPr>
        <w:t>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80" w:lineRule="exact"/>
        <w:rPr>
          <w:sz w:val="20"/>
          <w:szCs w:val="20"/>
          <w:color w:val="auto"/>
        </w:rPr>
      </w:pPr>
    </w:p>
    <w:p>
      <w:pPr>
        <w:jc w:val="both"/>
        <w:ind w:firstLine="2254"/>
        <w:spacing w:after="0" w:line="235" w:lineRule="auto"/>
        <w:tabs>
          <w:tab w:leader="none" w:pos="254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either (A) termination of any such Award in exchange for an amount of cash and/or other property, if any, equal to the amount that would have been attained upon the exercise of such Award or realization of the Holder’s rights (and, for the avoidance of doubt, if as of the date of the occurrence of the transaction or event described in this Section 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78" w:lineRule="exact"/>
        <w:rPr>
          <w:rFonts w:ascii="Times New Roman" w:cs="Times New Roman" w:eastAsia="Times New Roman" w:hAnsi="Times New Roman"/>
          <w:sz w:val="22"/>
          <w:szCs w:val="22"/>
          <w:color w:val="auto"/>
        </w:rPr>
      </w:pPr>
    </w:p>
    <w:p>
      <w:pPr>
        <w:jc w:val="both"/>
        <w:ind w:firstLine="2254"/>
        <w:spacing w:after="0" w:line="261" w:lineRule="auto"/>
        <w:tabs>
          <w:tab w:leader="none" w:pos="254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57"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(iii)To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80" w:lineRule="exact"/>
        <w:rPr>
          <w:sz w:val="20"/>
          <w:szCs w:val="20"/>
          <w:color w:val="auto"/>
        </w:rPr>
      </w:pPr>
    </w:p>
    <w:p>
      <w:pPr>
        <w:jc w:val="both"/>
        <w:ind w:firstLine="2246"/>
        <w:spacing w:after="0" w:line="282" w:lineRule="auto"/>
        <w:rPr>
          <w:sz w:val="20"/>
          <w:szCs w:val="20"/>
          <w:color w:val="auto"/>
        </w:rPr>
      </w:pPr>
      <w:r>
        <w:rPr>
          <w:rFonts w:ascii="Times New Roman" w:cs="Times New Roman" w:eastAsia="Times New Roman" w:hAnsi="Times New Roman"/>
          <w:sz w:val="21"/>
          <w:szCs w:val="21"/>
          <w:color w:val="auto"/>
        </w:rPr>
        <w:t>(iv)To provide that such Award shall be exercisable or payable or fully vested with respect to all shares covered thereby, notwithstanding anything to the contrary in the Plan or the applicable Program or Award Agreement; and</w:t>
      </w:r>
    </w:p>
    <w:p>
      <w:pPr>
        <w:spacing w:after="0" w:line="135" w:lineRule="exact"/>
        <w:rPr>
          <w:sz w:val="20"/>
          <w:szCs w:val="20"/>
          <w:color w:val="auto"/>
        </w:rPr>
      </w:pPr>
    </w:p>
    <w:p>
      <w:pPr>
        <w:ind w:left="2560" w:hanging="306"/>
        <w:spacing w:after="0"/>
        <w:tabs>
          <w:tab w:leader="none" w:pos="25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that the Award cannot vest, be exercised or become payable after such event.</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occurrence of any Equity Restructuring, and notwithstanding anything to the contrary in Sections 14.2(a) and 14.2(b) hereof:</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and type of securities subject to each outstanding Award and the exercise price or grant price thereof, if applicable, shall be equitably adjusted; and/or</w:t>
      </w:r>
    </w:p>
    <w:p>
      <w:pPr>
        <w:spacing w:after="0" w:line="158" w:lineRule="exact"/>
        <w:rPr>
          <w:sz w:val="20"/>
          <w:szCs w:val="20"/>
          <w:color w:val="auto"/>
        </w:rPr>
      </w:pPr>
    </w:p>
    <w:p>
      <w:pPr>
        <w:jc w:val="both"/>
        <w:ind w:firstLine="2254"/>
        <w:spacing w:after="0" w:line="244" w:lineRule="auto"/>
        <w:tabs>
          <w:tab w:leader="none" w:pos="254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spacing w:after="0" w:line="258" w:lineRule="auto"/>
        <w:rPr>
          <w:sz w:val="20"/>
          <w:szCs w:val="20"/>
          <w:color w:val="auto"/>
        </w:rPr>
      </w:pPr>
      <w:r>
        <w:rPr>
          <w:rFonts w:ascii="Times New Roman" w:cs="Times New Roman" w:eastAsia="Times New Roman" w:hAnsi="Times New Roman"/>
          <w:sz w:val="22"/>
          <w:szCs w:val="22"/>
          <w:color w:val="auto"/>
        </w:rPr>
        <w:t>but not limited to, adjustments of the limitations in Section 3.1 hereof on the maximum number and kind of shares which may be issued under the Plan).</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adjustments provided under this Section 14.2(c) shall be nondiscretionary and shall be final and binding on the affected Holder and the Company.</w:t>
      </w:r>
    </w:p>
    <w:p>
      <w:pPr>
        <w:spacing w:after="0" w:line="158" w:lineRule="exact"/>
        <w:rPr>
          <w:sz w:val="20"/>
          <w:szCs w:val="20"/>
          <w:color w:val="auto"/>
        </w:rPr>
      </w:pPr>
    </w:p>
    <w:p>
      <w:pPr>
        <w:ind w:left="2040" w:hanging="535"/>
        <w:spacing w:after="0"/>
        <w:tabs>
          <w:tab w:leader="none" w:pos="20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each outstanding Award shall be assumed or an equivalent Award substituted by the successor corporation or a parent or subsidiary of the successor corporation, in each case, as determined by the Administrator.</w:t>
      </w:r>
    </w:p>
    <w:p>
      <w:pPr>
        <w:spacing w:after="0" w:line="173"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successor corporation in a Change in Control and its parents and subsidiaries refuse to assume or substitute for any Award in accordance with Section 14.2(d)(i) hereof, each such non-assumed/substituted Award, except for any Performance Awards, shall become fully vested and, as applicable, exercisable and shall be deemed exercised, immediately prior to the consummation of such transaction, and all forfeiture restrictions on any or all such Awards shall lapse at such time. For the avoidance of doubt, the vesting of any Performance Awards not assumed in a Change in Control will not be automatically accelerated pursuant to this Section 14.2(d)(ii) and will instead vest pursuant to the terms and conditions of the applicable Award Agreement upon a Change in Control where the successor corporation and its parents and subsidiaries refuse to assume or substitute for any Award in accordance with Section 14.2(d)(i) hereof. If an Award vests and, as applicable, is exercised in lieu of assumption or substitution in connection with a Change in Control, the Administrator shall notify the Holder of such vesting and any applicable exercise period, and the Award shall terminate upon the Change in Control. For the avoidance of doubt, if the value of an Award that is terminated in connection with this Section 14.2(d)(ii) is zero or negative at the time of such Change in Control, such Award shall be terminated upon the Change in Control without payment of consideration therefor.</w:t>
      </w:r>
    </w:p>
    <w:p>
      <w:pPr>
        <w:spacing w:after="0" w:line="182"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(iii)Notwithstanding anything to the contrary, in the event that, within the twelve (12) month period immediately following a Change in Control, a Holder experiences a Termination of Service by the Company for other than Cause or by a Holder for Good Reason, then the vesting and, if applicable, exercisability of that number of Shares equal to one hundred percent (100%) of the then-unvested Shares subject to the outstanding Awards held by such Holder shall accelerate upon the date of such Termination of Service.</w:t>
      </w:r>
    </w:p>
    <w:p>
      <w:pPr>
        <w:spacing w:after="0" w:line="177" w:lineRule="exact"/>
        <w:rPr>
          <w:sz w:val="20"/>
          <w:szCs w:val="20"/>
          <w:color w:val="auto"/>
        </w:rPr>
      </w:pPr>
    </w:p>
    <w:p>
      <w:pPr>
        <w:jc w:val="both"/>
        <w:ind w:right="20" w:firstLine="1505"/>
        <w:spacing w:after="0" w:line="244" w:lineRule="auto"/>
        <w:tabs>
          <w:tab w:leader="none" w:pos="20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jc w:val="both"/>
        <w:spacing w:after="0" w:line="261" w:lineRule="auto"/>
        <w:rPr>
          <w:sz w:val="20"/>
          <w:szCs w:val="20"/>
          <w:color w:val="auto"/>
        </w:rPr>
      </w:pPr>
      <w:r>
        <w:rPr>
          <w:rFonts w:ascii="Times New Roman" w:cs="Times New Roman" w:eastAsia="Times New Roman" w:hAnsi="Times New Roman"/>
          <w:sz w:val="21"/>
          <w:szCs w:val="21"/>
          <w:color w:val="auto"/>
        </w:rPr>
        <w:t>422(b)(1) of the Code. Furthermore, no such adjustment or action shall be authorized to the extent such adjustment or action would result in short-swing profits liability under Section 16 of the Exchange Act or violate the exemptive conditions of Rule 16b-3 of the Exchange Act unless the Administrator determines that the Award is not to comply with such exemptive conditions.</w:t>
      </w:r>
    </w:p>
    <w:p>
      <w:pPr>
        <w:spacing w:after="0" w:line="157" w:lineRule="exact"/>
        <w:rPr>
          <w:sz w:val="20"/>
          <w:szCs w:val="20"/>
          <w:color w:val="auto"/>
        </w:rPr>
      </w:pPr>
    </w:p>
    <w:p>
      <w:pPr>
        <w:jc w:val="both"/>
        <w:ind w:firstLine="1505"/>
        <w:spacing w:after="0" w:line="235" w:lineRule="auto"/>
        <w:tabs>
          <w:tab w:leader="none" w:pos="203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14.3.</w:t>
      </w:r>
      <w:r>
        <w:rPr>
          <w:rFonts w:ascii="Times New Roman" w:cs="Times New Roman" w:eastAsia="Times New Roman" w:hAnsi="Times New Roman"/>
          <w:sz w:val="22"/>
          <w:szCs w:val="22"/>
          <w:u w:val="single" w:color="auto"/>
          <w:color w:val="auto"/>
        </w:rPr>
        <w:t>No Stockholders Rights</w:t>
      </w:r>
      <w:r>
        <w:rPr>
          <w:rFonts w:ascii="Times New Roman" w:cs="Times New Roman" w:eastAsia="Times New Roman" w:hAnsi="Times New Roman"/>
          <w:sz w:val="22"/>
          <w:szCs w:val="22"/>
          <w:color w:val="auto"/>
        </w:rPr>
        <w:t>. Except as otherwise provided herein, a Holder shall have none of the rights of a stockholder with respect to Shares covered by any Award until the Holder becomes the record owner of such Shares.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14.4.</w:t>
      </w:r>
      <w:r>
        <w:rPr>
          <w:rFonts w:ascii="Times New Roman" w:cs="Times New Roman" w:eastAsia="Times New Roman" w:hAnsi="Times New Roman"/>
          <w:sz w:val="22"/>
          <w:szCs w:val="22"/>
          <w:u w:val="single" w:color="auto"/>
          <w:color w:val="auto"/>
        </w:rPr>
        <w:t>Paperless Administration</w:t>
      </w:r>
      <w:r>
        <w:rPr>
          <w:rFonts w:ascii="Times New Roman" w:cs="Times New Roman" w:eastAsia="Times New Roman" w:hAnsi="Times New Roman"/>
          <w:sz w:val="22"/>
          <w:szCs w:val="22"/>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14.5.</w:t>
      </w:r>
      <w:r>
        <w:rPr>
          <w:rFonts w:ascii="Times New Roman" w:cs="Times New Roman" w:eastAsia="Times New Roman" w:hAnsi="Times New Roman"/>
          <w:sz w:val="22"/>
          <w:szCs w:val="22"/>
          <w:u w:val="single" w:color="auto"/>
          <w:color w:val="auto"/>
        </w:rPr>
        <w:t>Effect of Plan upon Other Compensation Plans</w:t>
      </w:r>
      <w:r>
        <w:rPr>
          <w:rFonts w:ascii="Times New Roman" w:cs="Times New Roman" w:eastAsia="Times New Roman" w:hAnsi="Times New Roman"/>
          <w:sz w:val="22"/>
          <w:szCs w:val="22"/>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14.6.</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Plan, the granting and vesting of Awards under the Plan and the issuance and delivery of Shares and the payment of money under the Plan or under Awards granted or awarded hereunder are subject to compliance with all Applicable Law, and to such approvals by any listing, regulatory or governmental authority as may, in the opinion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both"/>
        <w:spacing w:after="0" w:line="238" w:lineRule="auto"/>
        <w:rPr>
          <w:sz w:val="20"/>
          <w:szCs w:val="20"/>
          <w:color w:val="auto"/>
        </w:rPr>
      </w:pPr>
      <w:r>
        <w:rPr>
          <w:rFonts w:ascii="Times New Roman" w:cs="Times New Roman" w:eastAsia="Times New Roman" w:hAnsi="Times New Roman"/>
          <w:sz w:val="22"/>
          <w:szCs w:val="22"/>
          <w:color w:val="auto"/>
        </w:rPr>
        <w:t>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14.7.</w:t>
      </w:r>
      <w:r>
        <w:rPr>
          <w:rFonts w:ascii="Times New Roman" w:cs="Times New Roman" w:eastAsia="Times New Roman" w:hAnsi="Times New Roman"/>
          <w:sz w:val="22"/>
          <w:szCs w:val="22"/>
          <w:u w:val="single" w:color="auto"/>
          <w:color w:val="auto"/>
        </w:rPr>
        <w:t>Titles and Headings, References to Sections of the Code or Exchange Act</w:t>
      </w:r>
      <w:r>
        <w:rPr>
          <w:rFonts w:ascii="Times New Roman" w:cs="Times New Roman" w:eastAsia="Times New Roman" w:hAnsi="Times New Roman"/>
          <w:sz w:val="22"/>
          <w:szCs w:val="22"/>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14.8.</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and any agreements hereunder shall be administered, interpreted and enforced under the internal laws of the State of Delaware without regard to conflicts of laws thereof or of any other jurisdiction.</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14.9.</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14.10.</w:t>
      </w:r>
      <w:r>
        <w:rPr>
          <w:rFonts w:ascii="Times New Roman" w:cs="Times New Roman" w:eastAsia="Times New Roman" w:hAnsi="Times New Roman"/>
          <w:sz w:val="22"/>
          <w:szCs w:val="22"/>
          <w:u w:val="single" w:color="auto"/>
          <w:color w:val="auto"/>
        </w:rPr>
        <w:t>No Rights to Awards</w:t>
      </w:r>
      <w:r>
        <w:rPr>
          <w:rFonts w:ascii="Times New Roman" w:cs="Times New Roman" w:eastAsia="Times New Roman" w:hAnsi="Times New Roman"/>
          <w:sz w:val="22"/>
          <w:szCs w:val="22"/>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14.11.</w:t>
      </w:r>
      <w:r>
        <w:rPr>
          <w:rFonts w:ascii="Times New Roman" w:cs="Times New Roman" w:eastAsia="Times New Roman" w:hAnsi="Times New Roman"/>
          <w:sz w:val="21"/>
          <w:szCs w:val="21"/>
          <w:u w:val="single" w:color="auto"/>
          <w:color w:val="auto"/>
        </w:rPr>
        <w:t>Unfunded Status of Awards</w:t>
      </w:r>
      <w:r>
        <w:rPr>
          <w:rFonts w:ascii="Times New Roman" w:cs="Times New Roman" w:eastAsia="Times New Roman" w:hAnsi="Times New Roman"/>
          <w:sz w:val="21"/>
          <w:szCs w:val="21"/>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14.12.</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xml:space="preserve">. To the extent allowable pursuant to Applicable Law, each member of the Committee or of the Board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14.13.</w:t>
      </w:r>
      <w:r>
        <w:rPr>
          <w:rFonts w:ascii="Times New Roman" w:cs="Times New Roman" w:eastAsia="Times New Roman" w:hAnsi="Times New Roman"/>
          <w:sz w:val="22"/>
          <w:szCs w:val="22"/>
          <w:u w:val="single" w:color="auto"/>
          <w:color w:val="auto"/>
        </w:rPr>
        <w:t>Relationship to other Benefits</w:t>
      </w:r>
      <w:r>
        <w:rPr>
          <w:rFonts w:ascii="Times New Roman" w:cs="Times New Roman" w:eastAsia="Times New Roman" w:hAnsi="Times New Roman"/>
          <w:sz w:val="22"/>
          <w:szCs w:val="22"/>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14.14.</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expenses of administering the Plan shall be borne by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SYNLOGIC,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INDUCEMENT EQUITY INCENTIVE AWARD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GRANT NOTICE</w:t>
      </w:r>
    </w:p>
    <w:p>
      <w:pPr>
        <w:spacing w:after="0" w:line="210"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21"/>
          <w:szCs w:val="21"/>
          <w:color w:val="auto"/>
        </w:rPr>
        <w:t>Synlogic,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its 2023 Inducement Equity Incentive Award Plan, as may be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hereby grants to the holder listed below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an option to purchase the number of shares of the Company’s common stock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set forth below (the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xml:space="preserve">”). This Option is subject to all of the terms and conditions set forth herein, as well as in the Plan and the Stock Option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Stock Option Agreement</w:t>
      </w:r>
      <w:r>
        <w:rPr>
          <w:rFonts w:ascii="Times New Roman" w:cs="Times New Roman" w:eastAsia="Times New Roman" w:hAnsi="Times New Roman"/>
          <w:sz w:val="21"/>
          <w:szCs w:val="21"/>
          <w:color w:val="auto"/>
        </w:rPr>
        <w:t>”), each of which are incorporated herein by reference. Unless otherwise defined herein, the terms defined in the Plan shall have the same defined meanings in this Grant Notice and the Stock Option Agreement.</w:t>
      </w:r>
    </w:p>
    <w:p>
      <w:pPr>
        <w:sectPr>
          <w:pgSz w:w="11900" w:h="16838" w:orient="portrait"/>
          <w:cols w:equalWidth="0" w:num="1">
            <w:col w:w="11240"/>
          </w:cols>
          <w:pgMar w:left="320" w:top="756" w:right="339" w:bottom="1440" w:gutter="0" w:footer="0" w:header="0"/>
        </w:sectPr>
      </w:pP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0" w:lineRule="exact"/>
        <w:rPr>
          <w:sz w:val="20"/>
          <w:szCs w:val="20"/>
          <w:color w:val="auto"/>
        </w:rPr>
      </w:pPr>
    </w:p>
    <w:p>
      <w:pPr>
        <w:sectPr>
          <w:pgSz w:w="11900" w:h="16838" w:orient="portrait"/>
          <w:cols w:equalWidth="0" w:num="2">
            <w:col w:w="2700" w:space="720"/>
            <w:col w:w="7820"/>
          </w:cols>
          <w:pgMar w:left="320" w:top="756" w:right="33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«Grant_Date»</w:t>
      </w:r>
    </w:p>
    <w:p>
      <w:pPr>
        <w:spacing w:after="0" w:line="200" w:lineRule="exact"/>
        <w:rPr>
          <w:sz w:val="20"/>
          <w:szCs w:val="20"/>
          <w:color w:val="auto"/>
        </w:rPr>
      </w:pPr>
    </w:p>
    <w:p>
      <w:pPr>
        <w:sectPr>
          <w:pgSz w:w="11900" w:h="16838" w:orient="portrait"/>
          <w:cols w:equalWidth="0" w:num="2">
            <w:col w:w="2700" w:space="720"/>
            <w:col w:w="7820"/>
          </w:cols>
          <w:pgMar w:left="320" w:top="756" w:right="33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«VCD»</w:t>
      </w:r>
    </w:p>
    <w:p>
      <w:pPr>
        <w:spacing w:after="0" w:line="200" w:lineRule="exact"/>
        <w:rPr>
          <w:sz w:val="20"/>
          <w:szCs w:val="20"/>
          <w:color w:val="auto"/>
        </w:rPr>
      </w:pPr>
    </w:p>
    <w:p>
      <w:pPr>
        <w:sectPr>
          <w:pgSz w:w="11900" w:h="16838" w:orient="portrait"/>
          <w:cols w:equalWidth="0" w:num="2">
            <w:col w:w="2800" w:space="620"/>
            <w:col w:w="7820"/>
          </w:cols>
          <w:pgMar w:left="320" w:top="756" w:right="33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ectPr>
          <w:pgSz w:w="11900" w:h="16838" w:orient="portrait"/>
          <w:cols w:equalWidth="0" w:num="2">
            <w:col w:w="2700" w:space="720"/>
            <w:col w:w="7820"/>
          </w:cols>
          <w:pgMar w:left="320" w:top="756" w:right="339" w:bottom="1440" w:gutter="0" w:footer="0" w:header="0"/>
          <w:type w:val="continuous"/>
        </w:sectPr>
      </w:pP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Total Exercise Price: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«Total_Price»</w:t>
      </w:r>
    </w:p>
    <w:p>
      <w:pPr>
        <w:spacing w:after="0" w:line="200" w:lineRule="exact"/>
        <w:rPr>
          <w:sz w:val="20"/>
          <w:szCs w:val="20"/>
          <w:color w:val="auto"/>
        </w:rPr>
      </w:pPr>
    </w:p>
    <w:p>
      <w:pPr>
        <w:sectPr>
          <w:pgSz w:w="11900" w:h="16838" w:orient="portrait"/>
          <w:cols w:equalWidth="0" w:num="2">
            <w:col w:w="2700" w:space="720"/>
            <w:col w:w="7820"/>
          </w:cols>
          <w:pgMar w:left="320" w:top="756" w:right="33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Total Number of Shares Subject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shares</w:t>
      </w:r>
    </w:p>
    <w:p>
      <w:pPr>
        <w:spacing w:after="0" w:line="41" w:lineRule="exact"/>
        <w:rPr>
          <w:sz w:val="20"/>
          <w:szCs w:val="20"/>
          <w:color w:val="auto"/>
        </w:rPr>
      </w:pPr>
    </w:p>
    <w:p>
      <w:pPr>
        <w:sectPr>
          <w:pgSz w:w="11900" w:h="16838" w:orient="portrait"/>
          <w:cols w:equalWidth="0" w:num="2">
            <w:col w:w="2980" w:space="440"/>
            <w:col w:w="7820"/>
          </w:cols>
          <w:pgMar w:left="320" w:top="756"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b w:val="1"/>
          <w:bCs w:val="1"/>
          <w:color w:val="auto"/>
        </w:rPr>
        <w:t>to the Option:</w:t>
      </w:r>
    </w:p>
    <w:p>
      <w:pPr>
        <w:sectPr>
          <w:pgSz w:w="11900" w:h="16838" w:orient="portrait"/>
          <w:cols w:equalWidth="0" w:num="1">
            <w:col w:w="11240"/>
          </w:cols>
          <w:pgMar w:left="320" w:top="756" w:right="339" w:bottom="1440" w:gutter="0" w:footer="0" w:header="0"/>
          <w:type w:val="continuous"/>
        </w:sect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Expiration Date: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«Expiration»</w:t>
      </w:r>
    </w:p>
    <w:p>
      <w:pPr>
        <w:spacing w:after="0" w:line="200" w:lineRule="exact"/>
        <w:rPr>
          <w:sz w:val="20"/>
          <w:szCs w:val="20"/>
          <w:color w:val="auto"/>
        </w:rPr>
      </w:pPr>
    </w:p>
    <w:p>
      <w:pPr>
        <w:sectPr>
          <w:pgSz w:w="11900" w:h="16838" w:orient="portrait"/>
          <w:cols w:equalWidth="0" w:num="2">
            <w:col w:w="2700" w:space="720"/>
            <w:col w:w="7820"/>
          </w:cols>
          <w:pgMar w:left="320" w:top="756" w:right="33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Vesting Schedule: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«Vesting_Schedule»</w:t>
      </w:r>
    </w:p>
    <w:p>
      <w:pPr>
        <w:spacing w:after="0" w:line="200" w:lineRule="exact"/>
        <w:rPr>
          <w:sz w:val="20"/>
          <w:szCs w:val="20"/>
          <w:color w:val="auto"/>
        </w:rPr>
      </w:pPr>
    </w:p>
    <w:p>
      <w:pPr>
        <w:sectPr>
          <w:pgSz w:w="11900" w:h="16838" w:orient="portrait"/>
          <w:cols w:equalWidth="0" w:num="2">
            <w:col w:w="2700" w:space="720"/>
            <w:col w:w="7820"/>
          </w:cols>
          <w:pgMar w:left="320" w:top="756" w:right="339"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Type of Option: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Non-Qualified Stock Option</w:t>
      </w:r>
    </w:p>
    <w:p>
      <w:pPr>
        <w:spacing w:after="0" w:line="200" w:lineRule="exact"/>
        <w:rPr>
          <w:sz w:val="20"/>
          <w:szCs w:val="20"/>
          <w:color w:val="auto"/>
        </w:rPr>
      </w:pPr>
    </w:p>
    <w:p>
      <w:pPr>
        <w:sectPr>
          <w:pgSz w:w="11900" w:h="16838" w:orient="portrait"/>
          <w:cols w:equalWidth="0" w:num="2">
            <w:col w:w="2700" w:space="720"/>
            <w:col w:w="7820"/>
          </w:cols>
          <w:pgMar w:left="320" w:top="756" w:right="339" w:bottom="1440" w:gutter="0" w:footer="0" w:header="0"/>
          <w:type w:val="continuous"/>
        </w:sectPr>
      </w:pPr>
    </w:p>
    <w:p>
      <w:pPr>
        <w:spacing w:after="0" w:line="247" w:lineRule="exact"/>
        <w:rPr>
          <w:sz w:val="20"/>
          <w:szCs w:val="20"/>
          <w:color w:val="auto"/>
        </w:rPr>
      </w:pPr>
    </w:p>
    <w:p>
      <w:pPr>
        <w:jc w:val="both"/>
        <w:ind w:right="100" w:firstLine="749"/>
        <w:spacing w:after="0" w:line="236" w:lineRule="auto"/>
        <w:rPr>
          <w:sz w:val="20"/>
          <w:szCs w:val="20"/>
          <w:color w:val="auto"/>
        </w:rPr>
      </w:pPr>
      <w:r>
        <w:rPr>
          <w:rFonts w:ascii="Times New Roman" w:cs="Times New Roman" w:eastAsia="Times New Roman" w:hAnsi="Times New Roman"/>
          <w:sz w:val="22"/>
          <w:szCs w:val="22"/>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upon any questions arising under the Plan, this Grant Notice or the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1148715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86"/>
        </w:trPr>
        <w:tc>
          <w:tcPr>
            <w:tcW w:w="2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SYNLOGIC, INC.:</w:t>
            </w:r>
          </w:p>
        </w:tc>
        <w:tc>
          <w:tcPr>
            <w:tcW w:w="918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PARTICIPANT:</w:t>
            </w:r>
          </w:p>
        </w:tc>
      </w:tr>
      <w:tr>
        <w:trPr>
          <w:trHeight w:val="447"/>
        </w:trPr>
        <w:tc>
          <w:tcPr>
            <w:tcW w:w="20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91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By:</w:t>
            </w:r>
          </w:p>
        </w:tc>
      </w:tr>
      <w:tr>
        <w:trPr>
          <w:trHeight w:val="243"/>
        </w:trPr>
        <w:tc>
          <w:tcPr>
            <w:tcW w:w="2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Print Name:</w:t>
            </w:r>
          </w:p>
        </w:tc>
        <w:tc>
          <w:tcPr>
            <w:tcW w:w="91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Print Name:  «Participant»</w:t>
            </w:r>
          </w:p>
        </w:tc>
      </w:tr>
      <w:tr>
        <w:trPr>
          <w:trHeight w:val="243"/>
        </w:trPr>
        <w:tc>
          <w:tcPr>
            <w:tcW w:w="2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9180" w:type="dxa"/>
            <w:vAlign w:val="bottom"/>
          </w:tcPr>
          <w:p>
            <w:pPr>
              <w:spacing w:after="0"/>
              <w:rPr>
                <w:sz w:val="21"/>
                <w:szCs w:val="21"/>
                <w:color w:val="auto"/>
              </w:rPr>
            </w:pPr>
          </w:p>
        </w:tc>
      </w:tr>
      <w:tr>
        <w:trPr>
          <w:trHeight w:val="282"/>
        </w:trPr>
        <w:tc>
          <w:tcPr>
            <w:tcW w:w="206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91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Address:</w:t>
            </w:r>
          </w:p>
        </w:tc>
      </w:tr>
      <w:tr>
        <w:trPr>
          <w:trHeight w:val="1831"/>
        </w:trPr>
        <w:tc>
          <w:tcPr>
            <w:tcW w:w="206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2" w:name="page163"/>
    <w:bookmarkEnd w:id="162"/>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TO STOCK OPTION GRANT NOTICE</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SYNLOGIC, INC. STOCK OPTION AGREEMENT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Pursuant to the Stock Option Grant Notice (the “</w:t>
      </w:r>
      <w:r>
        <w:rPr>
          <w:rFonts w:ascii="Times New Roman" w:cs="Times New Roman" w:eastAsia="Times New Roman" w:hAnsi="Times New Roman"/>
          <w:sz w:val="22"/>
          <w:szCs w:val="22"/>
          <w:u w:val="single" w:color="auto"/>
          <w:color w:val="auto"/>
        </w:rPr>
        <w:t>Grant Notice</w:t>
      </w:r>
      <w:r>
        <w:rPr>
          <w:rFonts w:ascii="Times New Roman" w:cs="Times New Roman" w:eastAsia="Times New Roman" w:hAnsi="Times New Roman"/>
          <w:sz w:val="22"/>
          <w:szCs w:val="22"/>
          <w:color w:val="auto"/>
        </w:rPr>
        <w:t>”) to which this Stock Option Agreement (this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attached, Synlogic,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granted to Participant an Option under</w:t>
      </w:r>
    </w:p>
    <w:p>
      <w:pPr>
        <w:spacing w:after="0" w:line="230" w:lineRule="auto"/>
        <w:rPr>
          <w:sz w:val="20"/>
          <w:szCs w:val="20"/>
          <w:color w:val="auto"/>
        </w:rPr>
      </w:pPr>
      <w:r>
        <w:rPr>
          <w:rFonts w:ascii="Times New Roman" w:cs="Times New Roman" w:eastAsia="Times New Roman" w:hAnsi="Times New Roman"/>
          <w:sz w:val="22"/>
          <w:szCs w:val="22"/>
          <w:color w:val="auto"/>
        </w:rPr>
        <w:t>the Company’s 2023 Inducement Equity Incentive Award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to purchase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number of shares of Stock indicated in the Grant Notice.</w:t>
      </w:r>
    </w:p>
    <w:p>
      <w:pPr>
        <w:spacing w:after="0" w:line="1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0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ind w:left="200" w:right="40" w:firstLine="749"/>
        <w:spacing w:after="0" w:line="244"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Wherever the following terms are used in this Agreement they shall have the meanings specified below, unless the context clearly indicates otherwise. Capitalized terms not specifically defined herein shall have the meanings specified in the Plan and the Grant Notice.</w:t>
      </w:r>
    </w:p>
    <w:p>
      <w:pPr>
        <w:spacing w:after="0" w:line="173" w:lineRule="exact"/>
        <w:rPr>
          <w:sz w:val="20"/>
          <w:szCs w:val="20"/>
          <w:color w:val="auto"/>
        </w:rPr>
      </w:pPr>
    </w:p>
    <w:p>
      <w:pPr>
        <w:ind w:left="200" w:right="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Incorporation of Terms of Plan</w:t>
      </w:r>
      <w:r>
        <w:rPr>
          <w:rFonts w:ascii="Times New Roman" w:cs="Times New Roman" w:eastAsia="Times New Roman" w:hAnsi="Times New Roman"/>
          <w:sz w:val="22"/>
          <w:szCs w:val="22"/>
          <w:color w:val="auto"/>
        </w:rPr>
        <w:t>. The Option is subject to the terms and conditions of the Plan which are incorporated herein by reference. In the event of any inconsistency between the Plan and this Agreement, the terms of the Plan shall control.</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GRANT OF OPTION</w:t>
      </w:r>
    </w:p>
    <w:p>
      <w:pPr>
        <w:spacing w:after="0" w:line="210" w:lineRule="exact"/>
        <w:rPr>
          <w:sz w:val="20"/>
          <w:szCs w:val="20"/>
          <w:color w:val="auto"/>
        </w:rPr>
      </w:pPr>
    </w:p>
    <w:p>
      <w:pPr>
        <w:ind w:left="200" w:firstLine="749"/>
        <w:spacing w:after="0" w:line="23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The Company and Participant understand and agree that the Option shall be granted in compliance with Nasdaq Listing Rule 5635(c)(4) as a material inducement to the Participant entering into employment with the Company. Effective as of the Grant Date set forth in the Grant Notice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the Company irrevocably grants to Participant the Option to purchase any part or all of an aggregate of the number of shares of Stock set forth in the Grant Notice, upon the terms and conditions set forth in the Plan and this Agreement, subject to adjustments as provided in Section 14.2 of the Plan. The Option shall be a Non-Qualified Stock Option.</w:t>
      </w:r>
    </w:p>
    <w:p>
      <w:pPr>
        <w:spacing w:after="0" w:line="181" w:lineRule="exact"/>
        <w:rPr>
          <w:sz w:val="20"/>
          <w:szCs w:val="20"/>
          <w:color w:val="auto"/>
        </w:rPr>
      </w:pPr>
    </w:p>
    <w:p>
      <w:pPr>
        <w:jc w:val="both"/>
        <w:ind w:left="200" w:right="2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xml:space="preserve">. The exercise price of the shares of Stock subject to the Option shall be as set forth in the Grant Notice, without commission or other charge;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price per share of the shares of Stock subject to the Option shall not be less than 100% of the Fair Market Value of a share of Stock on the Grant Date.</w:t>
      </w:r>
    </w:p>
    <w:p>
      <w:pPr>
        <w:spacing w:after="0" w:line="173" w:lineRule="exact"/>
        <w:rPr>
          <w:sz w:val="20"/>
          <w:szCs w:val="20"/>
          <w:color w:val="auto"/>
        </w:rPr>
      </w:pPr>
    </w:p>
    <w:p>
      <w:pPr>
        <w:ind w:left="200" w:right="40" w:firstLine="749"/>
        <w:spacing w:after="0" w:line="238"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Consideration to the Company</w:t>
      </w:r>
      <w:r>
        <w:rPr>
          <w:rFonts w:ascii="Times New Roman" w:cs="Times New Roman" w:eastAsia="Times New Roman" w:hAnsi="Times New Roman"/>
          <w:sz w:val="22"/>
          <w:szCs w:val="22"/>
          <w:color w:val="auto"/>
        </w:rPr>
        <w:t>. In consideration of the grant of the Option by the Company, Participant agrees to render faithful and efficient services to the Company or any Affiliate. Nothing in the Plan or this Agreement shall confer upon Participant any right to continue in the employ or service of the Company or any Affiliate or shall interfere with or restrict in any way the rights of the Company and its Affiliates, which rights are hereby expressly reserved, to discharge or terminate the services of Participant at any time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63" w:name="page164"/>
    <w:bookmarkEnd w:id="163"/>
    <w:p>
      <w:pPr>
        <w:spacing w:after="0" w:line="258" w:lineRule="auto"/>
        <w:rPr>
          <w:sz w:val="20"/>
          <w:szCs w:val="20"/>
          <w:color w:val="auto"/>
        </w:rPr>
      </w:pPr>
      <w:r>
        <w:rPr>
          <w:rFonts w:ascii="Times New Roman" w:cs="Times New Roman" w:eastAsia="Times New Roman" w:hAnsi="Times New Roman"/>
          <w:sz w:val="22"/>
          <w:szCs w:val="22"/>
          <w:color w:val="auto"/>
        </w:rPr>
        <w:t>reason whatsoever, with or without cause, except to the extent expressly provided otherwise in a written agreement between the Company or an Affiliate and Participant.</w:t>
      </w:r>
    </w:p>
    <w:p>
      <w:pPr>
        <w:spacing w:after="0" w:line="15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0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PERIOD OF EXERCISABILITY</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Commencement of Exercisability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20" w:firstLine="1493"/>
        <w:spacing w:after="0" w:line="258" w:lineRule="auto"/>
        <w:tabs>
          <w:tab w:leader="none" w:pos="192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Sections 3.2, 3.3, 5.11 and 5.16 hereof, the Option shall become vested and exercisable in such amounts and at such times as are set forth in the Grant Notice.</w:t>
      </w:r>
    </w:p>
    <w:p>
      <w:pPr>
        <w:spacing w:after="0" w:line="158" w:lineRule="exact"/>
        <w:rPr>
          <w:rFonts w:ascii="Times New Roman" w:cs="Times New Roman" w:eastAsia="Times New Roman" w:hAnsi="Times New Roman"/>
          <w:sz w:val="22"/>
          <w:szCs w:val="22"/>
          <w:color w:val="auto"/>
        </w:rPr>
      </w:pPr>
    </w:p>
    <w:p>
      <w:pPr>
        <w:ind w:right="660" w:firstLine="1493"/>
        <w:spacing w:after="0" w:line="244" w:lineRule="auto"/>
        <w:tabs>
          <w:tab w:leader="none" w:pos="192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and Participant.</w:t>
      </w:r>
    </w:p>
    <w:p>
      <w:pPr>
        <w:spacing w:after="0" w:line="173" w:lineRule="exact"/>
        <w:rPr>
          <w:rFonts w:ascii="Times New Roman" w:cs="Times New Roman" w:eastAsia="Times New Roman" w:hAnsi="Times New Roman"/>
          <w:sz w:val="22"/>
          <w:szCs w:val="22"/>
          <w:color w:val="auto"/>
        </w:rPr>
      </w:pPr>
    </w:p>
    <w:p>
      <w:pPr>
        <w:ind w:right="180" w:firstLine="1493"/>
        <w:spacing w:after="0" w:line="258" w:lineRule="auto"/>
        <w:tabs>
          <w:tab w:leader="none" w:pos="192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3.1(a) hereof and the Grant Notice, but subject to Section 3.1(b) hereof, in the event of a Change in Control the Option shall be treated pursuant to Section 14.2 of the Plan.</w:t>
      </w:r>
    </w:p>
    <w:p>
      <w:pPr>
        <w:spacing w:after="0" w:line="158"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Duration of Exercisability</w:t>
      </w:r>
      <w:r>
        <w:rPr>
          <w:rFonts w:ascii="Times New Roman" w:cs="Times New Roman" w:eastAsia="Times New Roman" w:hAnsi="Times New Roman"/>
          <w:sz w:val="22"/>
          <w:szCs w:val="22"/>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pacing w:after="0" w:line="173"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Expiration of Option</w:t>
      </w:r>
      <w:r>
        <w:rPr>
          <w:rFonts w:ascii="Times New Roman" w:cs="Times New Roman" w:eastAsia="Times New Roman" w:hAnsi="Times New Roman"/>
          <w:sz w:val="22"/>
          <w:szCs w:val="22"/>
          <w:color w:val="auto"/>
        </w:rPr>
        <w:t>. The Option may not be exercised to any extent by anyone after the first to occur of the following events:</w:t>
      </w:r>
    </w:p>
    <w:p>
      <w:pPr>
        <w:spacing w:after="0" w:line="158" w:lineRule="exact"/>
        <w:rPr>
          <w:sz w:val="20"/>
          <w:szCs w:val="20"/>
          <w:color w:val="auto"/>
        </w:rPr>
      </w:pPr>
    </w:p>
    <w:p>
      <w:pPr>
        <w:ind w:left="1920" w:hanging="427"/>
        <w:spacing w:after="0"/>
        <w:tabs>
          <w:tab w:leader="none" w:pos="19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Date set forth in the Grant Notice, which shall in no event be more than ten (10) years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Grant Date;</w:t>
      </w:r>
    </w:p>
    <w:p>
      <w:pPr>
        <w:spacing w:after="0" w:line="182" w:lineRule="exact"/>
        <w:rPr>
          <w:rFonts w:ascii="Times New Roman" w:cs="Times New Roman" w:eastAsia="Times New Roman" w:hAnsi="Times New Roman"/>
          <w:sz w:val="22"/>
          <w:szCs w:val="22"/>
          <w:color w:val="auto"/>
        </w:rPr>
      </w:pPr>
    </w:p>
    <w:p>
      <w:pPr>
        <w:ind w:right="400" w:firstLine="1493"/>
        <w:spacing w:after="0" w:line="258" w:lineRule="auto"/>
        <w:tabs>
          <w:tab w:leader="none" w:pos="192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three (3) months from the date of Participant’s Termination of Service, unless such termination occurs by reason of Participant’s death or disability; or</w:t>
      </w:r>
    </w:p>
    <w:p>
      <w:pPr>
        <w:spacing w:after="0" w:line="158" w:lineRule="exact"/>
        <w:rPr>
          <w:rFonts w:ascii="Times New Roman" w:cs="Times New Roman" w:eastAsia="Times New Roman" w:hAnsi="Times New Roman"/>
          <w:sz w:val="22"/>
          <w:szCs w:val="22"/>
          <w:color w:val="auto"/>
        </w:rPr>
      </w:pPr>
    </w:p>
    <w:p>
      <w:pPr>
        <w:ind w:right="760" w:firstLine="1493"/>
        <w:spacing w:after="0" w:line="258" w:lineRule="auto"/>
        <w:tabs>
          <w:tab w:leader="none" w:pos="192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one (1) year from the date of Participant’s Termination of Service by reason of Participant’s death or disability.</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Tax Indemnity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20" w:firstLine="1493"/>
        <w:spacing w:after="0" w:line="238" w:lineRule="auto"/>
        <w:tabs>
          <w:tab w:leader="none" w:pos="192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agrees to indemnify and keep indemnified the Company, any Affiliate and Participant’s employing company, if different, from and against any liability for or obligation to pay any Tax Liability (a “</w:t>
      </w:r>
      <w:r>
        <w:rPr>
          <w:rFonts w:ascii="Times New Roman" w:cs="Times New Roman" w:eastAsia="Times New Roman" w:hAnsi="Times New Roman"/>
          <w:sz w:val="22"/>
          <w:szCs w:val="22"/>
          <w:u w:val="single" w:color="auto"/>
          <w:color w:val="auto"/>
        </w:rPr>
        <w:t>Tax Liability</w:t>
      </w:r>
      <w:r>
        <w:rPr>
          <w:rFonts w:ascii="Times New Roman" w:cs="Times New Roman" w:eastAsia="Times New Roman" w:hAnsi="Times New Roman"/>
          <w:sz w:val="22"/>
          <w:szCs w:val="22"/>
          <w:color w:val="auto"/>
        </w:rPr>
        <w:t>” being any liability for income tax, withholding tax and any other employment related taxes or social security contributions in any jurisdiction) that is attributable to (1) the grant or exercise of, or any benefit derived by Participant from, the Option, (2) the acquisition by Participant of the Stock on exercise of the Option or (3) the disposal of 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1008380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20" w:top="1408" w:right="359" w:bottom="1440" w:gutter="0" w:footer="0" w:header="0"/>
        </w:sectPr>
      </w:pPr>
    </w:p>
    <w:bookmarkStart w:id="164" w:name="page165"/>
    <w:bookmarkEnd w:id="164"/>
    <w:p>
      <w:pPr>
        <w:ind w:right="40" w:firstLine="1493"/>
        <w:spacing w:after="0" w:line="239" w:lineRule="auto"/>
        <w:tabs>
          <w:tab w:leader="none" w:pos="192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cannot be exercised until Participant has made such arrangements as the Company may require for the satisfaction of any Tax Liability that may arise in connection with the exercise of the Option and/or the acquisition of the Stock by Participant. The Company shall not be required to issue, allot or transfer Stock until Participant has satisfied this obligation.</w:t>
      </w:r>
    </w:p>
    <w:p>
      <w:pPr>
        <w:spacing w:after="0" w:line="180" w:lineRule="exact"/>
        <w:rPr>
          <w:rFonts w:ascii="Times New Roman" w:cs="Times New Roman" w:eastAsia="Times New Roman" w:hAnsi="Times New Roman"/>
          <w:sz w:val="22"/>
          <w:szCs w:val="22"/>
          <w:color w:val="auto"/>
        </w:rPr>
      </w:pPr>
    </w:p>
    <w:p>
      <w:pPr>
        <w:ind w:right="80" w:firstLine="1493"/>
        <w:spacing w:after="0" w:line="235" w:lineRule="auto"/>
        <w:tabs>
          <w:tab w:leader="none" w:pos="192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acknowledges that the Company (i) makes no representations or undertakings regarding the treatment of any Tax Liabilities in connection with any aspect of the Option and (ii) does not commit to and is under no obligation to structure the terms of the grant or any aspect of any Award, including the Option, to reduce or eliminate Participant’s liability for Tax Liabilities or achieve any particular tax result. Furthermore, if Participant becomes subject to tax in more than one jurisdiction between the date of grant of an Award, including the Option, and the date of any relevant taxable event, Participant acknowledges that the Company may be required to withhold or account for Tax Liabilities in more than one jurisdiction.</w:t>
      </w:r>
    </w:p>
    <w:p>
      <w:pPr>
        <w:spacing w:after="0" w:line="17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EXERCISE OF OPTION</w:t>
      </w:r>
    </w:p>
    <w:p>
      <w:pPr>
        <w:spacing w:after="0" w:line="210" w:lineRule="exact"/>
        <w:rPr>
          <w:sz w:val="20"/>
          <w:szCs w:val="20"/>
          <w:color w:val="auto"/>
        </w:rPr>
      </w:pPr>
    </w:p>
    <w:p>
      <w:pPr>
        <w:ind w:right="200" w:firstLine="749"/>
        <w:spacing w:after="0" w:line="23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Person Eligible to Exercise</w:t>
      </w:r>
      <w:r>
        <w:rPr>
          <w:rFonts w:ascii="Times New Roman" w:cs="Times New Roman" w:eastAsia="Times New Roman" w:hAnsi="Times New Roman"/>
          <w:sz w:val="22"/>
          <w:szCs w:val="22"/>
          <w:color w:val="auto"/>
        </w:rPr>
        <w:t>. Except as provided in Section 5.3 hereof, during the lifetime of Participant, only Participant may exercise the Option or any portion thereof, unless it has been disposed of pursuant to a DRO. After the death of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spacing w:after="0" w:line="177"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Partial Exercise</w:t>
      </w:r>
      <w:r>
        <w:rPr>
          <w:rFonts w:ascii="Times New Roman" w:cs="Times New Roman" w:eastAsia="Times New Roman" w:hAnsi="Times New Roman"/>
          <w:sz w:val="22"/>
          <w:szCs w:val="22"/>
          <w:color w:val="auto"/>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 of Stock.</w:t>
      </w:r>
    </w:p>
    <w:p>
      <w:pPr>
        <w:spacing w:after="0" w:line="173"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spacing w:after="0" w:line="180" w:lineRule="exact"/>
        <w:rPr>
          <w:sz w:val="20"/>
          <w:szCs w:val="20"/>
          <w:color w:val="auto"/>
        </w:rPr>
      </w:pPr>
    </w:p>
    <w:p>
      <w:pPr>
        <w:ind w:right="60" w:firstLine="1493"/>
        <w:spacing w:after="0" w:line="244" w:lineRule="auto"/>
        <w:tabs>
          <w:tab w:leader="none" w:pos="192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exercise notice in a form specified by the Administrator, stating that the Option or portion thereof is thereby exercised, such notice complying with all applicable rules established by the Administrator. The notice shall be signed by Participant or other person then entitled to exercise the Option or such portion of the Option;</w:t>
      </w:r>
    </w:p>
    <w:p>
      <w:pPr>
        <w:spacing w:after="0" w:line="173" w:lineRule="exact"/>
        <w:rPr>
          <w:rFonts w:ascii="Times New Roman" w:cs="Times New Roman" w:eastAsia="Times New Roman" w:hAnsi="Times New Roman"/>
          <w:sz w:val="22"/>
          <w:szCs w:val="22"/>
          <w:color w:val="auto"/>
        </w:rPr>
      </w:pPr>
    </w:p>
    <w:p>
      <w:pPr>
        <w:ind w:right="160" w:firstLine="1493"/>
        <w:spacing w:after="0" w:line="244" w:lineRule="auto"/>
        <w:tabs>
          <w:tab w:leader="none" w:pos="192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Company of full payment for the shares of Stock with respect to which the Option or portion thereof is exercised, including payment of any applicable withholding tax, which shall be made by deduction from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869315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08" w:right="339" w:bottom="1440" w:gutter="0" w:footer="0" w:header="0"/>
        </w:sectPr>
      </w:pPr>
    </w:p>
    <w:bookmarkStart w:id="165" w:name="page166"/>
    <w:bookmarkEnd w:id="165"/>
    <w:p>
      <w:pPr>
        <w:ind w:left="200" w:right="700"/>
        <w:spacing w:after="0" w:line="258" w:lineRule="auto"/>
        <w:rPr>
          <w:sz w:val="20"/>
          <w:szCs w:val="20"/>
          <w:color w:val="auto"/>
        </w:rPr>
      </w:pPr>
      <w:r>
        <w:rPr>
          <w:rFonts w:ascii="Times New Roman" w:cs="Times New Roman" w:eastAsia="Times New Roman" w:hAnsi="Times New Roman"/>
          <w:sz w:val="22"/>
          <w:szCs w:val="22"/>
          <w:color w:val="auto"/>
        </w:rPr>
        <w:t>payable to Participant or in such other form of consideration permitted under Section 4.4 hereof that is acceptable to the Company;</w:t>
      </w:r>
    </w:p>
    <w:p>
      <w:pPr>
        <w:spacing w:after="0" w:line="158" w:lineRule="exact"/>
        <w:rPr>
          <w:sz w:val="20"/>
          <w:szCs w:val="20"/>
          <w:color w:val="auto"/>
        </w:rPr>
      </w:pPr>
    </w:p>
    <w:p>
      <w:pPr>
        <w:ind w:left="200" w:right="40" w:firstLine="1493"/>
        <w:spacing w:after="0" w:line="282" w:lineRule="auto"/>
        <w:tabs>
          <w:tab w:leader="none" w:pos="212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written representations or documents as may be required in the Administrator’s sole discretion to evidence compliance with the Securities Act, the Exchange Act or any other applicable law, rule or regulation; and</w:t>
      </w:r>
    </w:p>
    <w:p>
      <w:pPr>
        <w:spacing w:after="0" w:line="134" w:lineRule="exact"/>
        <w:rPr>
          <w:rFonts w:ascii="Times New Roman" w:cs="Times New Roman" w:eastAsia="Times New Roman" w:hAnsi="Times New Roman"/>
          <w:sz w:val="21"/>
          <w:szCs w:val="21"/>
          <w:color w:val="auto"/>
        </w:rPr>
      </w:pPr>
    </w:p>
    <w:p>
      <w:pPr>
        <w:ind w:left="200" w:right="40" w:firstLine="1493"/>
        <w:spacing w:after="0" w:line="258" w:lineRule="auto"/>
        <w:tabs>
          <w:tab w:leader="none" w:pos="212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Option or portion thereof shall be exercised pursuant to Section 4.1 hereof by any person or persons other than Participant, appropriate proof of the right of such person or persons to exercise the Option.</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Notwithstanding any of the foregoing, the Company shall have the right to specify all conditions of the manner of exercise, which conditions may vary by country and which may be subject to change from time to time.</w:t>
      </w:r>
    </w:p>
    <w:p>
      <w:pPr>
        <w:spacing w:after="0" w:line="158" w:lineRule="exact"/>
        <w:rPr>
          <w:sz w:val="20"/>
          <w:szCs w:val="20"/>
          <w:color w:val="auto"/>
        </w:rPr>
      </w:pPr>
    </w:p>
    <w:p>
      <w:pPr>
        <w:ind w:left="200" w:right="1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Payment of the exercise price shall be by any of the following, or a combination thereof, at the election of Participant:</w:t>
      </w:r>
    </w:p>
    <w:p>
      <w:pPr>
        <w:spacing w:after="0" w:line="158" w:lineRule="exact"/>
        <w:rPr>
          <w:sz w:val="20"/>
          <w:szCs w:val="20"/>
          <w:color w:val="auto"/>
        </w:rPr>
      </w:pPr>
    </w:p>
    <w:p>
      <w:pPr>
        <w:ind w:left="2120" w:hanging="427"/>
        <w:spacing w:after="0"/>
        <w:tabs>
          <w:tab w:leader="none" w:pos="21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or check;</w:t>
      </w:r>
    </w:p>
    <w:p>
      <w:pPr>
        <w:spacing w:after="0" w:line="206" w:lineRule="exact"/>
        <w:rPr>
          <w:rFonts w:ascii="Times New Roman" w:cs="Times New Roman" w:eastAsia="Times New Roman" w:hAnsi="Times New Roman"/>
          <w:sz w:val="22"/>
          <w:szCs w:val="22"/>
          <w:color w:val="auto"/>
        </w:rPr>
      </w:pPr>
    </w:p>
    <w:p>
      <w:pPr>
        <w:ind w:left="200" w:right="60" w:firstLine="1493"/>
        <w:spacing w:after="0" w:line="239" w:lineRule="auto"/>
        <w:tabs>
          <w:tab w:leader="none" w:pos="212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Administrator, surrender of shares of Stock (including, without limitation, shares of Stock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spacing w:after="0" w:line="180" w:lineRule="exact"/>
        <w:rPr>
          <w:rFonts w:ascii="Times New Roman" w:cs="Times New Roman" w:eastAsia="Times New Roman" w:hAnsi="Times New Roman"/>
          <w:sz w:val="22"/>
          <w:szCs w:val="22"/>
          <w:color w:val="auto"/>
        </w:rPr>
      </w:pPr>
    </w:p>
    <w:p>
      <w:pPr>
        <w:ind w:left="200" w:right="40" w:firstLine="1493"/>
        <w:spacing w:after="0" w:line="238" w:lineRule="auto"/>
        <w:tabs>
          <w:tab w:leader="none" w:pos="212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legal consideration acceptable to the Administrator (including, without limitation, through the delivery of a notice that Participant has placed a market sell order with a broker with respect to shares of Stock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payment of such proceeds is then made to the Company at such time as may be required by the Company, but in any event not later than the settlement of such sale).</w:t>
      </w:r>
    </w:p>
    <w:p>
      <w:pPr>
        <w:spacing w:after="0" w:line="177" w:lineRule="exact"/>
        <w:rPr>
          <w:sz w:val="20"/>
          <w:szCs w:val="20"/>
          <w:color w:val="auto"/>
        </w:rPr>
      </w:pPr>
    </w:p>
    <w:p>
      <w:pPr>
        <w:ind w:left="200" w:right="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Conditions to Issuance of Stock</w:t>
      </w:r>
      <w:r>
        <w:rPr>
          <w:rFonts w:ascii="Times New Roman" w:cs="Times New Roman" w:eastAsia="Times New Roman" w:hAnsi="Times New Roman"/>
          <w:sz w:val="22"/>
          <w:szCs w:val="22"/>
          <w:color w:val="auto"/>
        </w:rPr>
        <w:t>. The shares of Stock deliverable upon the exercise of the Option, or any portion thereof, may be either previously authorized but unissued shares of Stock or issued shares of Stock which have then been reacquired by the Company. Such shares of Stock shall be fully paid and nonassessable. The Company shall not be required to issue or deliver any shares of Stock purchased upon the exercise of the Option or portion thereof prior to fulfillment of all of the conditions in Section 12.4 of the Plan and following conditions:</w:t>
      </w:r>
    </w:p>
    <w:p>
      <w:pPr>
        <w:spacing w:after="0" w:line="177" w:lineRule="exact"/>
        <w:rPr>
          <w:sz w:val="20"/>
          <w:szCs w:val="20"/>
          <w:color w:val="auto"/>
        </w:rPr>
      </w:pPr>
    </w:p>
    <w:p>
      <w:pPr>
        <w:ind w:left="1700"/>
        <w:spacing w:after="0"/>
        <w:tabs>
          <w:tab w:leader="none" w:pos="2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admission of such shares of Stock to listing on all stock exchanges on which such Stock is then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listed;</w:t>
      </w:r>
    </w:p>
    <w:p>
      <w:pPr>
        <w:spacing w:after="0" w:line="182" w:lineRule="exact"/>
        <w:rPr>
          <w:sz w:val="20"/>
          <w:szCs w:val="20"/>
          <w:color w:val="auto"/>
        </w:rPr>
      </w:pPr>
    </w:p>
    <w:p>
      <w:pPr>
        <w:ind w:left="200" w:right="580" w:firstLine="1493"/>
        <w:spacing w:after="0" w:line="258" w:lineRule="auto"/>
        <w:tabs>
          <w:tab w:leader="none" w:pos="212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completion of any registration or other qualification of such shares of Stock under any state or federal law or under rulings or regulations of the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ind w:right="120"/>
        <w:spacing w:after="0" w:line="258" w:lineRule="auto"/>
        <w:rPr>
          <w:sz w:val="20"/>
          <w:szCs w:val="20"/>
          <w:color w:val="auto"/>
        </w:rPr>
      </w:pPr>
      <w:r>
        <w:rPr>
          <w:rFonts w:ascii="Times New Roman" w:cs="Times New Roman" w:eastAsia="Times New Roman" w:hAnsi="Times New Roman"/>
          <w:sz w:val="22"/>
          <w:szCs w:val="22"/>
          <w:color w:val="auto"/>
        </w:rPr>
        <w:t>Exchange Commission or of any other governmental regulatory body, which the Administrator shall, in its absolute discretion, deem necessary or advisable;</w:t>
      </w:r>
    </w:p>
    <w:p>
      <w:pPr>
        <w:spacing w:after="0" w:line="158" w:lineRule="exact"/>
        <w:rPr>
          <w:sz w:val="20"/>
          <w:szCs w:val="20"/>
          <w:color w:val="auto"/>
        </w:rPr>
      </w:pPr>
    </w:p>
    <w:p>
      <w:pPr>
        <w:ind w:right="240" w:firstLine="1493"/>
        <w:spacing w:after="0" w:line="258" w:lineRule="auto"/>
        <w:tabs>
          <w:tab w:leader="none" w:pos="192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obtaining of any approval or other clearance from any state or federal governmental agency which the Administrator shall, in its absolute discretion, determine to be necessary or advisable;</w:t>
      </w:r>
    </w:p>
    <w:p>
      <w:pPr>
        <w:spacing w:after="0" w:line="158" w:lineRule="exact"/>
        <w:rPr>
          <w:rFonts w:ascii="Times New Roman" w:cs="Times New Roman" w:eastAsia="Times New Roman" w:hAnsi="Times New Roman"/>
          <w:sz w:val="22"/>
          <w:szCs w:val="22"/>
          <w:color w:val="auto"/>
        </w:rPr>
      </w:pPr>
    </w:p>
    <w:p>
      <w:pPr>
        <w:ind w:right="60" w:firstLine="1493"/>
        <w:spacing w:after="0" w:line="282" w:lineRule="auto"/>
        <w:tabs>
          <w:tab w:leader="none" w:pos="1929"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receipt by the Company of full payment for such shares of Stock, including payment of any applicable withholding tax, which may be in one or more of the forms of consideration permitted under Section 4.4 hereof; and</w:t>
      </w:r>
    </w:p>
    <w:p>
      <w:pPr>
        <w:spacing w:after="0" w:line="134" w:lineRule="exact"/>
        <w:rPr>
          <w:rFonts w:ascii="Times New Roman" w:cs="Times New Roman" w:eastAsia="Times New Roman" w:hAnsi="Times New Roman"/>
          <w:sz w:val="21"/>
          <w:szCs w:val="21"/>
          <w:color w:val="auto"/>
        </w:rPr>
      </w:pPr>
    </w:p>
    <w:p>
      <w:pPr>
        <w:ind w:right="340" w:firstLine="1493"/>
        <w:spacing w:after="0" w:line="258" w:lineRule="auto"/>
        <w:tabs>
          <w:tab w:leader="none" w:pos="192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lapse of such reasonable period of time following the exercise of the Option as the Administrator may from time to time establish for reasons of administrative convenience.</w:t>
      </w:r>
    </w:p>
    <w:p>
      <w:pPr>
        <w:spacing w:after="0" w:line="158"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The holder of the Option shall not be, nor have any of the rights or privileges of, a stockholder of the Company, including, without limitation, voting rights and rights to dividends, in respect of any shares of Stock purchasable upon the exercise of any part of the Option unless and until such shares of Stock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of Stock are issued, except as provided in Section 14.2 of the Plan.</w:t>
      </w:r>
    </w:p>
    <w:p>
      <w:pPr>
        <w:spacing w:after="0" w:line="1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OTHER PROVISIONS</w:t>
      </w:r>
    </w:p>
    <w:p>
      <w:pPr>
        <w:spacing w:after="0" w:line="210"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Option.</w:t>
      </w:r>
    </w:p>
    <w:p>
      <w:pPr>
        <w:spacing w:after="0" w:line="1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Whole Shares</w:t>
      </w:r>
      <w:r>
        <w:rPr>
          <w:rFonts w:ascii="Times New Roman" w:cs="Times New Roman" w:eastAsia="Times New Roman" w:hAnsi="Times New Roman"/>
          <w:sz w:val="22"/>
          <w:szCs w:val="22"/>
          <w:color w:val="auto"/>
        </w:rPr>
        <w:t>. The Option may only be exercised for whole shares of Stock.</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Option Not Transferable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3"/>
        <w:spacing w:after="0" w:line="236"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4.1 hereof, the Option may not be sold, pledged, assigned or transferred in any manner other than by will or the laws of descent and distribution or, subject to the consent of the Administrator, pursuant to a DRO, unless and until the Option has been exercised and the shares of Stock underlying the Option have been issued, and all restrictions applicable to such shares of Stock have lapsed. Neither the Option nor any interest or right therein shall be liable for the debts, contracts or engagements of Participant or his or her successors in interest or shall be subject to disposition by transfer, alienation, anticipation,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874395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08" w:right="339" w:bottom="1440" w:gutter="0" w:footer="0" w:header="0"/>
        </w:sectPr>
      </w:pPr>
    </w:p>
    <w:bookmarkStart w:id="167" w:name="page168"/>
    <w:bookmarkEnd w:id="167"/>
    <w:p>
      <w:pPr>
        <w:spacing w:after="0" w:line="239" w:lineRule="auto"/>
        <w:rPr>
          <w:sz w:val="20"/>
          <w:szCs w:val="20"/>
          <w:color w:val="auto"/>
        </w:rPr>
      </w:pPr>
      <w:r>
        <w:rPr>
          <w:rFonts w:ascii="Times New Roman" w:cs="Times New Roman" w:eastAsia="Times New Roman" w:hAnsi="Times New Roman"/>
          <w:sz w:val="22"/>
          <w:szCs w:val="22"/>
          <w:color w:val="auto"/>
        </w:rPr>
        <w:t>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w:t>
      </w:r>
    </w:p>
    <w:p>
      <w:pPr>
        <w:spacing w:after="0" w:line="207" w:lineRule="exact"/>
        <w:rPr>
          <w:sz w:val="20"/>
          <w:szCs w:val="20"/>
          <w:color w:val="auto"/>
        </w:rPr>
      </w:pPr>
    </w:p>
    <w:p>
      <w:pPr>
        <w:ind w:left="-200" w:right="20" w:firstLine="1505"/>
        <w:spacing w:after="0" w:line="238" w:lineRule="auto"/>
        <w:tabs>
          <w:tab w:leader="none" w:pos="172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lifetime of Participant, only Participant may exercise the Option (or any portion thereof), unless it has been disposed of pursuant to a DRO; after the death of Participant, any exercisable portion of the Option may, prior to the time when such portion becomes unexercisable under the Plan or this Agreement, be exercised by Participant’s personal representative or by any person empowered to do so under the deceased Participant’s will or under the then-applicable laws of descent and distribution.</w:t>
      </w:r>
    </w:p>
    <w:p>
      <w:pPr>
        <w:spacing w:after="0" w:line="176" w:lineRule="exact"/>
        <w:rPr>
          <w:rFonts w:ascii="Times New Roman" w:cs="Times New Roman" w:eastAsia="Times New Roman" w:hAnsi="Times New Roman"/>
          <w:sz w:val="22"/>
          <w:szCs w:val="22"/>
          <w:color w:val="auto"/>
        </w:rPr>
      </w:pPr>
    </w:p>
    <w:p>
      <w:pPr>
        <w:ind w:left="-200" w:right="40" w:firstLine="1505"/>
        <w:spacing w:after="0" w:line="233" w:lineRule="auto"/>
        <w:tabs>
          <w:tab w:leader="none" w:pos="172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in this Agreement, Participant may, in the manner determined by the Administrator, designate a beneficiary to exercise the rights of Participant and to receive any distribution with respect to the Option upon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Participant is married or a domestic partner in a domestic partnership qualified under Applicable Law and resides in a community property state, a designation of a person other than Participant’s spouse or domestic partner, as applicable, as his or her beneficiary with respect to more than 50% of Participant’s interest in the Option shall not be effective without the prior written consent of Participant’s spouse or domestic partner. If no beneficiary has been designated or survives Participant, payment shall be made to the person entitled thereto pursuant to Participant’s will or the laws of descent and distribution. Subject to the foregoing, a beneficiary designation may be changed or revoked by Participant at any time provided the change or revocation is filed with the Administrator prior to Participant’s death.</w:t>
      </w:r>
    </w:p>
    <w:p>
      <w:pPr>
        <w:spacing w:after="0" w:line="185"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Tax Consultation</w:t>
      </w:r>
      <w:r>
        <w:rPr>
          <w:rFonts w:ascii="Times New Roman" w:cs="Times New Roman" w:eastAsia="Times New Roman" w:hAnsi="Times New Roman"/>
          <w:sz w:val="22"/>
          <w:szCs w:val="22"/>
          <w:color w:val="auto"/>
        </w:rPr>
        <w:t>. Participant understands that Participant may suffer adverse tax consequences as a result of the grant, vesting and/or exercise of the Option, and/or with the purchase or disposition of the shares of Stock subject to the Option. Participant represents that Participant has consulted with any tax consultants Participant deems advisable in connection with the purchase or disposition of such shares of Stock and that Participant is not relying on the Company for any tax advice.</w:t>
      </w:r>
    </w:p>
    <w:p>
      <w:pPr>
        <w:spacing w:after="0" w:line="177"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the Option contained herein, this Agreement will be binding upon and inure to the benefit of the heirs, legatees, legal representatives, successors and assigns of the parties hereto.</w:t>
      </w:r>
    </w:p>
    <w:p>
      <w:pPr>
        <w:spacing w:after="0" w:line="173"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Adjustments Upon Specified Events</w:t>
      </w:r>
      <w:r>
        <w:rPr>
          <w:rFonts w:ascii="Times New Roman" w:cs="Times New Roman" w:eastAsia="Times New Roman" w:hAnsi="Times New Roman"/>
          <w:sz w:val="22"/>
          <w:szCs w:val="22"/>
          <w:color w:val="auto"/>
        </w:rPr>
        <w:t>. The Administrator may accelerate the vesting of the Option in such circumstances as it, in its sole discretion, may determine. In addition, upon the occurrence of certain events relating to the Stock contemplated by Section 14.2 of the Plan (including, without limitation, an extraordinary cash dividend on such Stock), the Administrator shall make such adjustments the Administrator deems appropriate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873760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20" w:top="1408" w:right="359" w:bottom="1440" w:gutter="0" w:footer="0" w:header="0"/>
        </w:sectPr>
      </w:pPr>
    </w:p>
    <w:bookmarkStart w:id="168" w:name="page169"/>
    <w:bookmarkEnd w:id="168"/>
    <w:p>
      <w:pPr>
        <w:spacing w:after="0" w:line="244" w:lineRule="auto"/>
        <w:rPr>
          <w:sz w:val="20"/>
          <w:szCs w:val="20"/>
          <w:color w:val="auto"/>
        </w:rPr>
      </w:pPr>
      <w:r>
        <w:rPr>
          <w:rFonts w:ascii="Times New Roman" w:cs="Times New Roman" w:eastAsia="Times New Roman" w:hAnsi="Times New Roman"/>
          <w:sz w:val="22"/>
          <w:szCs w:val="22"/>
          <w:color w:val="auto"/>
        </w:rPr>
        <w:t>number of shares of Stock subject to the Option, the exercise price of the Option and the kind of securities that may be issued upon exercise of the Option. Participant acknowledges that the Option is subject to adjustment, modification and termination in certain events as provided in this Agreement and Section 14.2 of the Plan.</w:t>
      </w:r>
    </w:p>
    <w:p>
      <w:pPr>
        <w:spacing w:after="0" w:line="173"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5.7, either party may hereafter designate a different address for notices to be given to that party. Any notice which is required to be given to Participant shall, if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78" w:lineRule="exact"/>
        <w:rPr>
          <w:sz w:val="20"/>
          <w:szCs w:val="20"/>
          <w:color w:val="auto"/>
        </w:rPr>
      </w:pPr>
    </w:p>
    <w:p>
      <w:pPr>
        <w:ind w:right="7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Titles</w:t>
      </w:r>
      <w:r>
        <w:rPr>
          <w:rFonts w:ascii="Times New Roman" w:cs="Times New Roman" w:eastAsia="Times New Roman" w:hAnsi="Times New Roman"/>
          <w:sz w:val="22"/>
          <w:szCs w:val="22"/>
          <w:color w:val="auto"/>
        </w:rPr>
        <w:t>. Titles are provided herein for convenience only and are not to serve as a basis for interpretation or construction of this Agreement.</w:t>
      </w:r>
    </w:p>
    <w:p>
      <w:pPr>
        <w:spacing w:after="0" w:line="158" w:lineRule="exact"/>
        <w:rPr>
          <w:sz w:val="20"/>
          <w:szCs w:val="20"/>
          <w:color w:val="auto"/>
        </w:rPr>
      </w:pPr>
    </w:p>
    <w:p>
      <w:pPr>
        <w:ind w:right="3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3"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21"/>
          <w:szCs w:val="21"/>
          <w:color w:val="auto"/>
        </w:rPr>
        <w:t xml:space="preserve">5.10 </w:t>
      </w:r>
      <w:r>
        <w:rPr>
          <w:rFonts w:ascii="Times New Roman" w:cs="Times New Roman" w:eastAsia="Times New Roman" w:hAnsi="Times New Roman"/>
          <w:sz w:val="21"/>
          <w:szCs w:val="21"/>
          <w:u w:val="single" w:color="auto"/>
          <w:color w:val="auto"/>
        </w:rPr>
        <w:t>Conformity to Securities Laws</w:t>
      </w:r>
      <w:r>
        <w:rPr>
          <w:rFonts w:ascii="Times New Roman" w:cs="Times New Roman" w:eastAsia="Times New Roman" w:hAnsi="Times New Roman"/>
          <w:sz w:val="21"/>
          <w:szCs w:val="21"/>
          <w:color w:val="auto"/>
        </w:rPr>
        <w:t>.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spacing w:after="0" w:line="171"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Amendment, Suspension and Termination</w:t>
      </w:r>
      <w:r>
        <w:rPr>
          <w:rFonts w:ascii="Times New Roman" w:cs="Times New Roman" w:eastAsia="Times New Roman" w:hAnsi="Times New Roman"/>
          <w:sz w:val="22"/>
          <w:szCs w:val="22"/>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except as may otherwise be provided by the Plan, no amendment, modification, suspension or termination of this Agreement shall adversely affect the Option in any material way without the prior written consent of Participant.</w:t>
      </w:r>
    </w:p>
    <w:p>
      <w:pPr>
        <w:spacing w:after="0" w:line="177" w:lineRule="exact"/>
        <w:rPr>
          <w:sz w:val="20"/>
          <w:szCs w:val="20"/>
          <w:color w:val="auto"/>
        </w:rPr>
      </w:pPr>
    </w:p>
    <w:p>
      <w:pPr>
        <w:ind w:right="260" w:firstLine="749"/>
        <w:spacing w:after="0" w:line="239"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Participant and his or her heirs, executors, administrators,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1010920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20" w:top="1408" w:right="359" w:bottom="1440" w:gutter="0" w:footer="0" w:header="0"/>
        </w:sectPr>
      </w:pPr>
    </w:p>
    <w:bookmarkStart w:id="169" w:name="page170"/>
    <w:bookmarkEnd w:id="169"/>
    <w:p>
      <w:pPr>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Limitations Applicable to Section 16 Persons</w:t>
      </w:r>
      <w:r>
        <w:rPr>
          <w:rFonts w:ascii="Times New Roman" w:cs="Times New Roman" w:eastAsia="Times New Roman" w:hAnsi="Times New Roman"/>
          <w:sz w:val="22"/>
          <w:szCs w:val="22"/>
          <w:color w:val="auto"/>
        </w:rPr>
        <w:t>. Notwithstanding any other provision of the Plan or this Agreement, if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1"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Not a Contract of Service Relationship</w:t>
      </w:r>
      <w:r>
        <w:rPr>
          <w:rFonts w:ascii="Times New Roman" w:cs="Times New Roman" w:eastAsia="Times New Roman" w:hAnsi="Times New Roman"/>
          <w:sz w:val="22"/>
          <w:szCs w:val="22"/>
          <w:color w:val="auto"/>
        </w:rPr>
        <w:t>. Nothing in this Agreement or in the Plan shall confer upon Participant any right to continue to serve as an employee or other service provider of the Company or any of its Affiliates or interfere with or restrict in any way with the right of the Company or any of its Affiliates, which rights are hereby expressly reserved, to discharge or to terminate for any reason whatsoever, with or without cause, the services of Participant’s at any time.</w:t>
      </w:r>
    </w:p>
    <w:p>
      <w:pPr>
        <w:spacing w:after="0" w:line="180"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the Grant Notice and this Agreement (including all Exhibits thereto) constitute the entire agreement of the parties and supersede in their entirety all prior undertakings and agreements of the Company and Participant with respect to the subject matter hereof.</w:t>
      </w:r>
    </w:p>
    <w:p>
      <w:pPr>
        <w:spacing w:after="0" w:line="173"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1"/>
          <w:szCs w:val="21"/>
          <w:color w:val="auto"/>
        </w:rPr>
        <w:t xml:space="preserve">5.16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However, notwithstanding any other provision of the Plan, the Grant Notice or this Agreement (or any Exhibits hereto), if at any time the Administrator determines that the Option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any Exhibits hereto),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spacing w:after="0" w:line="171" w:lineRule="exact"/>
        <w:rPr>
          <w:sz w:val="20"/>
          <w:szCs w:val="20"/>
          <w:color w:val="auto"/>
        </w:rPr>
      </w:pPr>
    </w:p>
    <w:p>
      <w:pPr>
        <w:ind w:right="2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u w:val="single" w:color="auto"/>
          <w:color w:val="auto"/>
        </w:rPr>
        <w:t>Limitation on Participant’s Rights</w:t>
      </w:r>
      <w:r>
        <w:rPr>
          <w:rFonts w:ascii="Times New Roman" w:cs="Times New Roman" w:eastAsia="Times New Roman" w:hAnsi="Times New Roman"/>
          <w:sz w:val="22"/>
          <w:szCs w:val="22"/>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Option, and rights no greater than the right to receive the Stock as a general unsecured creditor with respect to options, as and when exercised pursuant to the terms hereof.</w:t>
      </w:r>
    </w:p>
    <w:p>
      <w:pPr>
        <w:spacing w:after="0" w:line="181"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 xml:space="preserve">5.18 </w:t>
      </w:r>
      <w:r>
        <w:rPr>
          <w:rFonts w:ascii="Times New Roman" w:cs="Times New Roman" w:eastAsia="Times New Roman" w:hAnsi="Times New Roman"/>
          <w:sz w:val="22"/>
          <w:szCs w:val="22"/>
          <w:u w:val="single" w:color="auto"/>
          <w:color w:val="auto"/>
        </w:rPr>
        <w:t>Consent to Personal Data Use</w:t>
      </w:r>
      <w:r>
        <w:rPr>
          <w:rFonts w:ascii="Times New Roman" w:cs="Times New Roman" w:eastAsia="Times New Roman" w:hAnsi="Times New Roman"/>
          <w:sz w:val="22"/>
          <w:szCs w:val="22"/>
          <w:color w:val="auto"/>
        </w:rPr>
        <w:t>. Participant acknowledges and agrees that the Company is permitted to collect, hold, store, process, modify, transfer, lock or delete certain personal (and sensitive) data in any medium about Participant (i.e., name, home address, telephone number, e-mail address, date of birth, tax identification number and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869315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08" w:right="339" w:bottom="1440" w:gutter="0" w:footer="0" w:header="0"/>
        </w:sectPr>
      </w:pPr>
    </w:p>
    <w:bookmarkStart w:id="170" w:name="page171"/>
    <w:bookmarkEnd w:id="170"/>
    <w:p>
      <w:pPr>
        <w:spacing w:after="0" w:line="235" w:lineRule="auto"/>
        <w:rPr>
          <w:sz w:val="20"/>
          <w:szCs w:val="20"/>
          <w:color w:val="auto"/>
        </w:rPr>
      </w:pPr>
      <w:r>
        <w:rPr>
          <w:rFonts w:ascii="Times New Roman" w:cs="Times New Roman" w:eastAsia="Times New Roman" w:hAnsi="Times New Roman"/>
          <w:sz w:val="22"/>
          <w:szCs w:val="22"/>
          <w:color w:val="auto"/>
        </w:rPr>
        <w:t>information) as a part of its personnel and other business records for the exclusive purpose of tracking stock option grants, processing stock option exercises and subsequent share transfers and sales, arranging for appropriate tax reporting and withholding and regulatory tracking and reporting purposes and the Company may disclose such information to third parties in the event that such disclosure is in the Company’s view required for the proper tracking of stock option grants, processing stock option exercises and subsequent share transfers and sales, arranging for appropriate tax reporting and withholding and regulatory tracking. For these purposes, this personal data will be transferred to other locations, including locations outside of the European Union and in so-called insecure third-party countries that do not guarantee the data privacy protection level of the European Union.</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5.19 </w:t>
      </w:r>
      <w:r>
        <w:rPr>
          <w:rFonts w:ascii="Times New Roman" w:cs="Times New Roman" w:eastAsia="Times New Roman" w:hAnsi="Times New Roman"/>
          <w:sz w:val="22"/>
          <w:szCs w:val="22"/>
          <w:u w:val="single" w:color="auto"/>
          <w:color w:val="auto"/>
        </w:rPr>
        <w:t>Rules Particular To Specific Countries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493"/>
        <w:spacing w:after="0" w:line="235" w:lineRule="auto"/>
        <w:tabs>
          <w:tab w:leader="none" w:pos="192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Participant shall, if required by the Administrator, enter into an election with the Company or an Affiliate (in a form approved by the Company) under which any liability to the Company’s (or an Affiliate’s) Tax Liability, including, but not limited to, National Insurance Contributions (“</w:t>
      </w:r>
      <w:r>
        <w:rPr>
          <w:rFonts w:ascii="Times New Roman" w:cs="Times New Roman" w:eastAsia="Times New Roman" w:hAnsi="Times New Roman"/>
          <w:sz w:val="22"/>
          <w:szCs w:val="22"/>
          <w:u w:val="single" w:color="auto"/>
          <w:color w:val="auto"/>
        </w:rPr>
        <w:t>NICs</w:t>
      </w:r>
      <w:r>
        <w:rPr>
          <w:rFonts w:ascii="Times New Roman" w:cs="Times New Roman" w:eastAsia="Times New Roman" w:hAnsi="Times New Roman"/>
          <w:sz w:val="22"/>
          <w:szCs w:val="22"/>
          <w:color w:val="auto"/>
        </w:rPr>
        <w:t>”) and the Fringe Benefit Tax (“</w:t>
      </w:r>
      <w:r>
        <w:rPr>
          <w:rFonts w:ascii="Times New Roman" w:cs="Times New Roman" w:eastAsia="Times New Roman" w:hAnsi="Times New Roman"/>
          <w:sz w:val="22"/>
          <w:szCs w:val="22"/>
          <w:u w:val="single" w:color="auto"/>
          <w:color w:val="auto"/>
        </w:rPr>
        <w:t>FBT</w:t>
      </w:r>
      <w:r>
        <w:rPr>
          <w:rFonts w:ascii="Times New Roman" w:cs="Times New Roman" w:eastAsia="Times New Roman" w:hAnsi="Times New Roman"/>
          <w:sz w:val="22"/>
          <w:szCs w:val="22"/>
          <w:color w:val="auto"/>
        </w:rPr>
        <w:t>”), is transferred to and met by Participant. For purposes of this Section 5.19, Tax Liability shall mean any and all liability under applicable non-U.S. laws, rules or regulations from any income tax, the Company’s (or an Affiliate’s) NICs, FBT or similar liability and Participant’s NICs, FBT or similar liability that are attributable to: (A) the grant or exercise of, or any other benefit derived by Participant from the Option; (B) the acquisition by Participant of the shares of Stock on exercise of the Option; or (C) the disposal of any shares of Stock acquired upon exercise of the Option.</w:t>
      </w:r>
    </w:p>
    <w:p>
      <w:pPr>
        <w:spacing w:after="0" w:line="178" w:lineRule="exact"/>
        <w:rPr>
          <w:rFonts w:ascii="Times New Roman" w:cs="Times New Roman" w:eastAsia="Times New Roman" w:hAnsi="Times New Roman"/>
          <w:sz w:val="22"/>
          <w:szCs w:val="22"/>
          <w:color w:val="auto"/>
        </w:rPr>
      </w:pPr>
    </w:p>
    <w:p>
      <w:pPr>
        <w:ind w:right="120" w:firstLine="1493"/>
        <w:spacing w:after="0" w:line="258" w:lineRule="auto"/>
        <w:tabs>
          <w:tab w:leader="none" w:pos="192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Indemnity</w:t>
      </w:r>
      <w:r>
        <w:rPr>
          <w:rFonts w:ascii="Times New Roman" w:cs="Times New Roman" w:eastAsia="Times New Roman" w:hAnsi="Times New Roman"/>
          <w:sz w:val="22"/>
          <w:szCs w:val="22"/>
          <w:color w:val="auto"/>
        </w:rPr>
        <w:t>. Participant shall indemnify and keep indemnified the Company and any of its Affiliates from and against any Tax Liability.</w:t>
      </w:r>
    </w:p>
    <w:p>
      <w:pPr>
        <w:spacing w:after="0" w:line="185"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 xml:space="preserve">5.20 </w:t>
      </w: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Notwithstanding anything to the contrary contained in the Plan, the Company may recover from Participant any compensation received from the Option or cause Participant to forfeit the Option (whether or not vested) in the event that the Company’s Clawback Policy as then in effect is triggered.</w:t>
      </w:r>
    </w:p>
    <w:p>
      <w:pPr>
        <w:spacing w:after="0" w:line="200" w:lineRule="exact"/>
        <w:rPr>
          <w:sz w:val="20"/>
          <w:szCs w:val="20"/>
          <w:color w:val="auto"/>
        </w:rPr>
      </w:pPr>
    </w:p>
    <w:p>
      <w:pPr>
        <w:spacing w:after="0" w:line="216" w:lineRule="exact"/>
        <w:rPr>
          <w:sz w:val="20"/>
          <w:szCs w:val="20"/>
          <w:color w:val="auto"/>
        </w:rPr>
      </w:pPr>
    </w:p>
    <w:p>
      <w:pPr>
        <w:jc w:val="center"/>
        <w:ind w:right="180"/>
        <w:spacing w:after="0"/>
        <w:tabs>
          <w:tab w:leader="none" w:pos="260" w:val="left"/>
          <w:tab w:leader="none" w:pos="260" w:val="left"/>
          <w:tab w:leader="none" w:pos="240" w:val="left"/>
          <w:tab w:leader="none" w:pos="240" w:val="left"/>
        </w:tabs>
        <w:rPr>
          <w:sz w:val="20"/>
          <w:szCs w:val="20"/>
          <w:color w:val="auto"/>
        </w:rPr>
      </w:pPr>
      <w:r>
        <w:rPr>
          <w:rFonts w:ascii="Times New Roman" w:cs="Times New Roman" w:eastAsia="Times New Roman" w:hAnsi="Times New Roman"/>
          <w:sz w:val="22"/>
          <w:szCs w:val="22"/>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1026795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08"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Synlogic Operating Company,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301 Binney Street, Suite 402</w:t>
      </w:r>
    </w:p>
    <w:p>
      <w:pPr>
        <w:jc w:val="center"/>
        <w:spacing w:after="0"/>
        <w:rPr>
          <w:sz w:val="20"/>
          <w:szCs w:val="20"/>
          <w:color w:val="auto"/>
        </w:rPr>
      </w:pPr>
      <w:r>
        <w:rPr>
          <w:rFonts w:ascii="Times New Roman" w:cs="Times New Roman" w:eastAsia="Times New Roman" w:hAnsi="Times New Roman"/>
          <w:sz w:val="20"/>
          <w:szCs w:val="20"/>
          <w:color w:val="auto"/>
        </w:rPr>
        <w:t>Cambridge, MA 02142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Provided by February 9, 2024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Aoife M. Brennan</w:t>
      </w:r>
    </w:p>
    <w:p>
      <w:pPr>
        <w:spacing w:after="0"/>
        <w:rPr>
          <w:sz w:val="20"/>
          <w:szCs w:val="20"/>
          <w:color w:val="auto"/>
        </w:rPr>
      </w:pPr>
      <w:r>
        <w:rPr>
          <w:rFonts w:ascii="Times New Roman" w:cs="Times New Roman" w:eastAsia="Times New Roman" w:hAnsi="Times New Roman"/>
          <w:sz w:val="20"/>
          <w:szCs w:val="20"/>
          <w:color w:val="auto"/>
        </w:rPr>
        <w:t>Dear Aoife,</w:t>
      </w:r>
    </w:p>
    <w:p>
      <w:pPr>
        <w:spacing w:after="0" w:line="207" w:lineRule="exact"/>
        <w:rPr>
          <w:sz w:val="20"/>
          <w:szCs w:val="20"/>
          <w:color w:val="auto"/>
        </w:rPr>
      </w:pPr>
    </w:p>
    <w:p>
      <w:pPr>
        <w:jc w:val="both"/>
        <w:ind w:firstLine="749"/>
        <w:spacing w:after="0" w:line="224" w:lineRule="auto"/>
        <w:rPr>
          <w:sz w:val="20"/>
          <w:szCs w:val="20"/>
          <w:color w:val="auto"/>
        </w:rPr>
      </w:pPr>
      <w:r>
        <w:rPr>
          <w:rFonts w:ascii="Times New Roman" w:cs="Times New Roman" w:eastAsia="Times New Roman" w:hAnsi="Times New Roman"/>
          <w:sz w:val="20"/>
          <w:szCs w:val="20"/>
          <w:color w:val="auto"/>
        </w:rPr>
        <w:t>The purpose of this letter agreement (“Agreement”) is to confirm the terms of this separation of employment from Synlogic, Inc. (“Synlogic” or “the Company”).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The Severance Pay and Benefits described below are contingent on your agreement to and compliance with the provisions of this Agreement, as set forth below. In order to accept the Severance Pay and Benefits offered in this Agreement, you must sign and return the same on, or before March 27, 2024. This Agreement shall be effective on the eighth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after you sign the same (the “Effective Date”).</w:t>
      </w:r>
    </w:p>
    <w:p>
      <w:pPr>
        <w:spacing w:after="0" w:line="310" w:lineRule="exact"/>
        <w:rPr>
          <w:sz w:val="20"/>
          <w:szCs w:val="20"/>
          <w:color w:val="auto"/>
        </w:rPr>
      </w:pPr>
    </w:p>
    <w:p>
      <w:pPr>
        <w:jc w:val="both"/>
        <w:ind w:left="1020" w:hanging="503"/>
        <w:spacing w:after="0" w:line="254" w:lineRule="auto"/>
        <w:tabs>
          <w:tab w:leader="none" w:pos="1020" w:val="left"/>
        </w:tabs>
        <w:numPr>
          <w:ilvl w:val="0"/>
          <w:numId w:val="1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Separation of Employment</w:t>
      </w:r>
      <w:r>
        <w:rPr>
          <w:rFonts w:ascii="Times New Roman" w:cs="Times New Roman" w:eastAsia="Times New Roman" w:hAnsi="Times New Roman"/>
          <w:sz w:val="20"/>
          <w:szCs w:val="20"/>
          <w:color w:val="auto"/>
        </w:rPr>
        <w:t>. As previously communicated to you, your employment with the Company ends on March 9, 2024 (the “Separation Date”). You acknowledge that from and after the Separation Date, you have no authority to, and shall not, represent yourself as an employee or agent of the Company.</w:t>
      </w:r>
    </w:p>
    <w:p>
      <w:pPr>
        <w:spacing w:after="0" w:line="174" w:lineRule="exact"/>
        <w:rPr>
          <w:rFonts w:ascii="Times New Roman" w:cs="Times New Roman" w:eastAsia="Times New Roman" w:hAnsi="Times New Roman"/>
          <w:sz w:val="20"/>
          <w:szCs w:val="20"/>
          <w:u w:val="single" w:color="auto"/>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Severance Pay and Benefits</w:t>
      </w:r>
      <w:r>
        <w:rPr>
          <w:rFonts w:ascii="Times New Roman" w:cs="Times New Roman" w:eastAsia="Times New Roman" w:hAnsi="Times New Roman"/>
          <w:sz w:val="19"/>
          <w:szCs w:val="19"/>
          <w:color w:val="auto"/>
        </w:rPr>
        <w:t>. If you comply with the terms of this Agreement, the Company will provide you with the following:</w:t>
      </w:r>
    </w:p>
    <w:p>
      <w:pPr>
        <w:spacing w:after="0" w:line="119" w:lineRule="exact"/>
        <w:rPr>
          <w:rFonts w:ascii="Times New Roman" w:cs="Times New Roman" w:eastAsia="Times New Roman" w:hAnsi="Times New Roman"/>
          <w:sz w:val="19"/>
          <w:szCs w:val="19"/>
          <w:u w:val="single" w:color="auto"/>
          <w:color w:val="auto"/>
        </w:rPr>
      </w:pPr>
    </w:p>
    <w:p>
      <w:pPr>
        <w:jc w:val="both"/>
        <w:ind w:left="1540" w:hanging="514"/>
        <w:spacing w:after="0" w:line="246" w:lineRule="auto"/>
        <w:tabs>
          <w:tab w:leader="none" w:pos="154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Severance Pay in the form of a lump-sum payment equivalent to twelve (12) months of your base salary, or $628,305, less all tax withholdings and any other authorized deductions paid within thirty (30) days of you returning an executed Agreement. Such payment is being made consistent with the terms of the Employment Letter Agreement dated October 1, 2018 and the Amendment to the the Employment Letter Agreement, dated December 26, 2023 (collectively the “Brennan Employment Agreement”).</w:t>
      </w:r>
    </w:p>
    <w:p>
      <w:pPr>
        <w:spacing w:after="0" w:line="76"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1"/>
          <w:numId w:val="1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Health and Other Benefits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u w:val="single" w:color="auto"/>
          <w:color w:val="auto"/>
        </w:rPr>
      </w:pPr>
    </w:p>
    <w:p>
      <w:pPr>
        <w:jc w:val="both"/>
        <w:ind w:left="2040" w:hanging="505"/>
        <w:spacing w:after="0" w:line="241" w:lineRule="auto"/>
        <w:tabs>
          <w:tab w:leader="none" w:pos="2040"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You will have the right to continue your participation in Synlogic’s medical and dental insurance programs through your Separation Date. You will then have the right to continue your participation in Synlogic’s medical and dental insurance programs subject to your timely applying and being eligible for such benefits pursuant to the provisions of the Consolidated Omnibus Budget Reconciliation Act of 1985 (COBRA), subject to the requirements of COBRA and the continuation of the Company medical and dental plans by its insurance carrier. If you sign this Agreement and it becomes effective as set forth below, and elect COBRA coverage, the Company will continue to pay the Company premium for such coverage for twelve (12) months after your Separation Date. Your medical and dental plan contributions will be deducted from your severance pay. Thereafter, your continuation of your medical and dental insurance pursuant to the provisions of COBRA will be solely at your own cost. The “qualifying event” under COBRA shall be deemed to have commenced on the Separation Date. In the event that the Company, in connection with the winding down of its business, terminates its group health plan coverage, the Company shall provide you with a taxable lump sum payment equal to the cost of the currently selected medical benefit option times the number of months remaining in the severance period following cessation of the Company’s group health plan coverage.</w:t>
      </w:r>
    </w:p>
    <w:p>
      <w:pPr>
        <w:spacing w:after="0" w:line="349" w:lineRule="exact"/>
        <w:rPr>
          <w:sz w:val="20"/>
          <w:szCs w:val="20"/>
          <w:color w:val="auto"/>
        </w:rPr>
      </w:pPr>
    </w:p>
    <w:p>
      <w:pPr>
        <w:ind w:right="80" w:firstLine="8"/>
        <w:spacing w:after="0" w:line="231" w:lineRule="auto"/>
        <w:tabs>
          <w:tab w:leader="none" w:pos="105" w:val="left"/>
        </w:tabs>
        <w:numPr>
          <w:ilvl w:val="0"/>
          <w:numId w:val="1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Except for the obligations set forth in Section 2 which shall be solely the obligations of Synlogic, Inc.,whenever the term Synlogic, Inc. is otherwise used in this Agreement (including, without limitation, Section 7), it shall be deemed to include Synlogic, Inc., and any and all of its divisions, affiliates and subsidiaries and all related entities (including investors), and its and their directors, officers, employees, agents, successors and assigns.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341" w:lineRule="exact"/>
        <w:rPr>
          <w:sz w:val="20"/>
          <w:szCs w:val="20"/>
          <w:color w:val="auto"/>
        </w:rPr>
      </w:pPr>
    </w:p>
    <w:p>
      <w:pPr>
        <w:jc w:val="both"/>
        <w:ind w:left="2040" w:hanging="505"/>
        <w:spacing w:after="0" w:line="245" w:lineRule="auto"/>
        <w:tabs>
          <w:tab w:leader="none" w:pos="2040" w:val="left"/>
        </w:tabs>
        <w:numPr>
          <w:ilvl w:val="3"/>
          <w:numId w:val="1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2024 Bonus</w:t>
      </w:r>
      <w:r>
        <w:rPr>
          <w:rFonts w:ascii="Times New Roman" w:cs="Times New Roman" w:eastAsia="Times New Roman" w:hAnsi="Times New Roman"/>
          <w:sz w:val="20"/>
          <w:szCs w:val="20"/>
          <w:color w:val="auto"/>
        </w:rPr>
        <w:t>: You will be eligible for consideration of 100% of your target 2024 bonus, pro-rated by the number of days employed in 2024, in the amount of $65,327. The determination of whether to award a bonus and the amount of such bonus shall be in the sole discretion of the Company and is subject to the approval of the Board of Directors. If such bonus is awarded,it is expected to be paid by no later than within thirty (30) days of you returning an executed Agreement. You acknowledge and agree that you have no contractual or other entitlement to such a bonus.</w:t>
      </w:r>
    </w:p>
    <w:p>
      <w:pPr>
        <w:spacing w:after="0" w:line="184" w:lineRule="exact"/>
        <w:rPr>
          <w:rFonts w:ascii="Times New Roman" w:cs="Times New Roman" w:eastAsia="Times New Roman" w:hAnsi="Times New Roman"/>
          <w:sz w:val="20"/>
          <w:szCs w:val="20"/>
          <w:u w:val="single" w:color="auto"/>
          <w:color w:val="auto"/>
        </w:rPr>
      </w:pPr>
    </w:p>
    <w:p>
      <w:pPr>
        <w:jc w:val="both"/>
        <w:ind w:firstLine="757"/>
        <w:spacing w:after="0" w:line="254" w:lineRule="auto"/>
        <w:tabs>
          <w:tab w:leader="none" w:pos="1145"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acknowledge and agree that the Severance Pay and Benefits set forth in the sub-sections above are consistent with the provisions of the Brennan Employment Agreement, and that your signing of this Agreement is a condition precedent to the receipt of such Severance Pay and Benefits.</w:t>
      </w:r>
    </w:p>
    <w:p>
      <w:pPr>
        <w:spacing w:after="0" w:line="174" w:lineRule="exact"/>
        <w:rPr>
          <w:rFonts w:ascii="Times New Roman" w:cs="Times New Roman" w:eastAsia="Times New Roman" w:hAnsi="Times New Roman"/>
          <w:sz w:val="20"/>
          <w:szCs w:val="20"/>
          <w:color w:val="auto"/>
        </w:rPr>
      </w:pPr>
    </w:p>
    <w:p>
      <w:pPr>
        <w:jc w:val="both"/>
        <w:ind w:left="1020" w:hanging="503"/>
        <w:spacing w:after="0" w:line="246" w:lineRule="auto"/>
        <w:tabs>
          <w:tab w:leader="none" w:pos="1020" w:val="left"/>
        </w:tabs>
        <w:numPr>
          <w:ilvl w:val="0"/>
          <w:numId w:val="1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Equity</w:t>
      </w:r>
      <w:r>
        <w:rPr>
          <w:rFonts w:ascii="Times New Roman" w:cs="Times New Roman" w:eastAsia="Times New Roman" w:hAnsi="Times New Roman"/>
          <w:sz w:val="20"/>
          <w:szCs w:val="20"/>
          <w:color w:val="auto"/>
        </w:rPr>
        <w:t>. You will be entitled to exercise only those stock options or RSAs granted to you and which are vested as of the Separation Date under the applicable Synlogic, Inc. equity plans and any amendments to those plan (the “Equity Plans”),and only in accordance with the terms and conditions of the Equity Plans. You acknowledge and agree that you do not and will not in the future have rights to vest in any other equity plans (of whatever name or kind) that you participated in or were eligible to participate in during your employment with the Company.</w:t>
      </w:r>
    </w:p>
    <w:p>
      <w:pPr>
        <w:spacing w:after="0" w:line="184" w:lineRule="exact"/>
        <w:rPr>
          <w:rFonts w:ascii="Times New Roman" w:cs="Times New Roman" w:eastAsia="Times New Roman" w:hAnsi="Times New Roman"/>
          <w:sz w:val="20"/>
          <w:szCs w:val="20"/>
          <w:u w:val="single" w:color="auto"/>
          <w:color w:val="auto"/>
        </w:rPr>
      </w:pPr>
    </w:p>
    <w:p>
      <w:pPr>
        <w:jc w:val="both"/>
        <w:ind w:left="1020" w:hanging="503"/>
        <w:spacing w:after="0" w:line="260" w:lineRule="auto"/>
        <w:tabs>
          <w:tab w:leader="none" w:pos="1020" w:val="left"/>
        </w:tabs>
        <w:numPr>
          <w:ilvl w:val="0"/>
          <w:numId w:val="12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Acknowledgements</w:t>
      </w:r>
      <w:r>
        <w:rPr>
          <w:rFonts w:ascii="Times New Roman" w:cs="Times New Roman" w:eastAsia="Times New Roman" w:hAnsi="Times New Roman"/>
          <w:sz w:val="19"/>
          <w:szCs w:val="19"/>
          <w:color w:val="auto"/>
        </w:rPr>
        <w:t>. You acknowledge and agree that the Severance Pay and Benefits to be provided to you are not intended to, and shall not constitute, a severance plan and shall confer no benefit on anyone other than the Company and you. You further acknowledge that except for any unpaid regular wages (including accrued and unused vacation) earned through the Separation Date, which shall be paid on or around the Separation Date, you have been paid and provided all wages, vacation pay, holiday pay, bonus, business expenses, and any other form of compensation or benefit that may be due to you now or which would have become due in the future in connection with your employment or separation of employment with the Company.</w:t>
      </w:r>
    </w:p>
    <w:p>
      <w:pPr>
        <w:spacing w:after="0" w:line="172" w:lineRule="exact"/>
        <w:rPr>
          <w:rFonts w:ascii="Times New Roman" w:cs="Times New Roman" w:eastAsia="Times New Roman" w:hAnsi="Times New Roman"/>
          <w:sz w:val="19"/>
          <w:szCs w:val="19"/>
          <w:u w:val="single" w:color="auto"/>
          <w:color w:val="auto"/>
        </w:rPr>
      </w:pPr>
    </w:p>
    <w:p>
      <w:pPr>
        <w:ind w:left="1020" w:hanging="503"/>
        <w:spacing w:after="0"/>
        <w:tabs>
          <w:tab w:leader="none" w:pos="1020" w:val="left"/>
        </w:tabs>
        <w:numPr>
          <w:ilvl w:val="0"/>
          <w:numId w:val="1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Return of Property, Confidentiality, Non-Disparagement</w:t>
      </w:r>
      <w:r>
        <w:rPr>
          <w:rFonts w:ascii="Times New Roman" w:cs="Times New Roman" w:eastAsia="Times New Roman" w:hAnsi="Times New Roman"/>
          <w:sz w:val="20"/>
          <w:szCs w:val="20"/>
          <w:color w:val="auto"/>
        </w:rPr>
        <w:t>. You expressly acknowledge and agree to the following:</w:t>
      </w:r>
    </w:p>
    <w:p>
      <w:pPr>
        <w:spacing w:after="0" w:line="107" w:lineRule="exact"/>
        <w:rPr>
          <w:rFonts w:ascii="Times New Roman" w:cs="Times New Roman" w:eastAsia="Times New Roman" w:hAnsi="Times New Roman"/>
          <w:sz w:val="20"/>
          <w:szCs w:val="20"/>
          <w:u w:val="single" w:color="auto"/>
          <w:color w:val="auto"/>
        </w:rPr>
      </w:pPr>
    </w:p>
    <w:p>
      <w:pPr>
        <w:jc w:val="both"/>
        <w:ind w:left="1540" w:hanging="514"/>
        <w:spacing w:after="0" w:line="244" w:lineRule="auto"/>
        <w:tabs>
          <w:tab w:leader="none" w:pos="154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you will abide by any and all obligations contained in agreements you have executed(copies of which can be provided to you), the terms of which are hereby incorporated by reference, which shall survive the signing of this Agreement, and which you hereby affirm. You further agree that you otherwise will keep all confidential information and trade secrets of the Company confidential, and that you will abide by any and all common law and/or statutory obligations relating to protection and non-disclosure of the Company’s trade secrets and/or confidential and proprietary documents and information. Consistent with applicable law, the Company is providing you with the notice of immunity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,which is a part of this Agreement and each other agreement referenced in this subsection.</w:t>
      </w:r>
    </w:p>
    <w:p>
      <w:pPr>
        <w:spacing w:after="0" w:line="77" w:lineRule="exact"/>
        <w:rPr>
          <w:rFonts w:ascii="Times New Roman" w:cs="Times New Roman" w:eastAsia="Times New Roman" w:hAnsi="Times New Roman"/>
          <w:sz w:val="20"/>
          <w:szCs w:val="20"/>
          <w:color w:val="auto"/>
        </w:rPr>
      </w:pPr>
    </w:p>
    <w:p>
      <w:pPr>
        <w:jc w:val="both"/>
        <w:ind w:left="1540" w:hanging="514"/>
        <w:spacing w:after="0" w:line="263" w:lineRule="auto"/>
        <w:tabs>
          <w:tab w:leader="none" w:pos="1540" w:val="left"/>
        </w:tabs>
        <w:numPr>
          <w:ilvl w:val="2"/>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obligations, that by your Separation Date, you will promptly return to the Company all the Company documents (and any copies) and property (including all electronically stored information) regardless of where such documents, information or property is maintained. You acknowledge and agree that you shall not maintain any copies or duplicates of such documents or information. You further acknowledge that if you were to use or disclose any of the information reflected in such items, that this would cause immediate, substantial and irreparable harm to the Company.</w:t>
      </w:r>
    </w:p>
    <w:p>
      <w:pPr>
        <w:spacing w:after="0" w:line="58" w:lineRule="exact"/>
        <w:rPr>
          <w:rFonts w:ascii="Times New Roman" w:cs="Times New Roman" w:eastAsia="Times New Roman" w:hAnsi="Times New Roman"/>
          <w:sz w:val="19"/>
          <w:szCs w:val="19"/>
          <w:color w:val="auto"/>
        </w:rPr>
      </w:pPr>
    </w:p>
    <w:p>
      <w:pPr>
        <w:jc w:val="both"/>
        <w:ind w:left="1540" w:hanging="514"/>
        <w:spacing w:after="0" w:line="246" w:lineRule="auto"/>
        <w:tabs>
          <w:tab w:leader="none" w:pos="154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all information relating in any way to the negotiation and terms of this Agreement (except for your obligations under Section 5(i) above), including the amount of financial consideration provided for in this Agreement, shall be held confidential by you and shall not be publicized or disclosed to any person (other than an immediate family member, legal counsel, or financial advisor, provided that any such individual to whom disclosure is made agrees to be bound by these confidentiality obligations), business entity, or as otherwise mandated by state or federal law.</w:t>
      </w:r>
    </w:p>
    <w:p>
      <w:pPr>
        <w:spacing w:after="0" w:line="76" w:lineRule="exact"/>
        <w:rPr>
          <w:rFonts w:ascii="Times New Roman" w:cs="Times New Roman" w:eastAsia="Times New Roman" w:hAnsi="Times New Roman"/>
          <w:sz w:val="20"/>
          <w:szCs w:val="20"/>
          <w:color w:val="auto"/>
        </w:rPr>
      </w:pPr>
    </w:p>
    <w:p>
      <w:pPr>
        <w:jc w:val="both"/>
        <w:ind w:left="1540" w:hanging="514"/>
        <w:spacing w:after="0" w:line="244" w:lineRule="auto"/>
        <w:tabs>
          <w:tab w:leader="none" w:pos="154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you will not make any oral or written statements (including on any social media or other similar platform) that are professionally or personally disparaging about, or adverse to, the interests of the Company(including its officers, directors, employees and consultants) including, but not limited to, any statements that disparage any person,product, service, finances,financial condition, capability or any other aspect of the business of the Company, and that you will not engage in any conduct which could reasonably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341" w:lineRule="exact"/>
        <w:rPr>
          <w:sz w:val="20"/>
          <w:szCs w:val="20"/>
          <w:color w:val="auto"/>
        </w:rPr>
      </w:pPr>
    </w:p>
    <w:p>
      <w:pPr>
        <w:jc w:val="both"/>
        <w:ind w:left="1023"/>
        <w:spacing w:after="0" w:line="269" w:lineRule="auto"/>
        <w:rPr>
          <w:sz w:val="20"/>
          <w:szCs w:val="20"/>
          <w:color w:val="auto"/>
        </w:rPr>
      </w:pPr>
      <w:r>
        <w:rPr>
          <w:rFonts w:ascii="Times New Roman" w:cs="Times New Roman" w:eastAsia="Times New Roman" w:hAnsi="Times New Roman"/>
          <w:sz w:val="20"/>
          <w:szCs w:val="20"/>
          <w:color w:val="auto"/>
        </w:rPr>
        <w:t>be expected to harm professionally or personally the reputation of the Company (including its officers, directors, employees and consultants).</w:t>
      </w:r>
    </w:p>
    <w:p>
      <w:pPr>
        <w:spacing w:after="0" w:line="51" w:lineRule="exact"/>
        <w:rPr>
          <w:sz w:val="20"/>
          <w:szCs w:val="20"/>
          <w:color w:val="auto"/>
        </w:rPr>
      </w:pPr>
    </w:p>
    <w:p>
      <w:pPr>
        <w:jc w:val="both"/>
        <w:ind w:left="1023" w:hanging="514"/>
        <w:spacing w:after="0" w:line="254" w:lineRule="auto"/>
        <w:tabs>
          <w:tab w:leader="none" w:pos="102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Severance Pay and Benefits being offered are based on your representations that you have not engaged in any fraudulent or unlawful conduct, and that you have fully disclosed to the Company all material information relating to your job duties for the Company.</w:t>
      </w:r>
    </w:p>
    <w:p>
      <w:pPr>
        <w:spacing w:after="0" w:line="66" w:lineRule="exact"/>
        <w:rPr>
          <w:rFonts w:ascii="Times New Roman" w:cs="Times New Roman" w:eastAsia="Times New Roman" w:hAnsi="Times New Roman"/>
          <w:sz w:val="20"/>
          <w:szCs w:val="20"/>
          <w:color w:val="auto"/>
        </w:rPr>
      </w:pPr>
    </w:p>
    <w:p>
      <w:pPr>
        <w:jc w:val="both"/>
        <w:ind w:left="1023" w:hanging="514"/>
        <w:spacing w:after="0" w:line="243" w:lineRule="auto"/>
        <w:tabs>
          <w:tab w:leader="none" w:pos="102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that in the event of your breach of any of your agreements set forth in this Section 5 the Company would suffer substantial irreparable harm and that the Company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or temporary, preliminary or permanent injunctive relief, or any other equitable remedy which then maybe available. The seeking of such injunction or order shall not affect the Company’s right to seek and obtain damages or other equitable relief on account of any such actual or threatened breach. You further agree that the Company shall be entitled to its costs and fees, including attorneys’ fees, incurred by it should it prevail in enforcing and provision of this Agreement.</w:t>
      </w:r>
    </w:p>
    <w:p>
      <w:pPr>
        <w:spacing w:after="0" w:line="185" w:lineRule="exact"/>
        <w:rPr>
          <w:rFonts w:ascii="Times New Roman" w:cs="Times New Roman" w:eastAsia="Times New Roman" w:hAnsi="Times New Roman"/>
          <w:sz w:val="20"/>
          <w:szCs w:val="20"/>
          <w:color w:val="auto"/>
        </w:rPr>
      </w:pPr>
    </w:p>
    <w:p>
      <w:pPr>
        <w:jc w:val="both"/>
        <w:ind w:left="503" w:hanging="503"/>
        <w:spacing w:after="0" w:line="241" w:lineRule="auto"/>
        <w:tabs>
          <w:tab w:leader="none" w:pos="503" w:val="left"/>
        </w:tabs>
        <w:numPr>
          <w:ilvl w:val="0"/>
          <w:numId w:val="1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Cooperation/Transition of Duties</w:t>
      </w:r>
      <w:r>
        <w:rPr>
          <w:rFonts w:ascii="Times New Roman" w:cs="Times New Roman" w:eastAsia="Times New Roman" w:hAnsi="Times New Roman"/>
          <w:sz w:val="20"/>
          <w:szCs w:val="20"/>
          <w:color w:val="auto"/>
        </w:rPr>
        <w:t>. You agree that during the Severance Period you will make yourself reasonably available to the Company, upon reasonable notice, either by email, telephone or, if the Company believes necessary, in person to assist the Company in any matter relating to the services performed by you during your employment with the Company including, but not limited, transitioning your duties to others at the Company. You further agree that during this period of time and thereafter you will cooperate fully with the Company in the defense or prosecution of any claims or actions now in existence or which may be brought or threatened in the future against or on behalf of the Company, including any claim or action against its directors, officers and employees. Your cooperation in connection with such claims or actions shall include, your being available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within reason given the constraints of future employment or job search activities, to meet with the Company to prepare for any proceeding, to provide truthful affidavits and/or testimony, to assist with any audit, inspection, proceeding or other inquiry, and to act as a witness in connection with any litigation or other legal proceeding affecting the Company. You further agree that should an individual representing a party adverse to the business or legal interests of the Company (including, without limitation, anyone threatening any form of legal action against the Company) contact you (directly or indirectly), you will promptly (within 48 hours) inform the Company of that fact. Nothing herein shall be construed to prohibit or prevent you from cooperating with any government investigation (including maintaining the confidentiality of such investigation if required by the government), nor shall any such cooperation be deemed to be a violation of your obligations of non-disparagement set forth in Section 5(iv) above.</w:t>
      </w:r>
    </w:p>
    <w:p>
      <w:pPr>
        <w:spacing w:after="0" w:line="193" w:lineRule="exact"/>
        <w:rPr>
          <w:rFonts w:ascii="Times New Roman" w:cs="Times New Roman" w:eastAsia="Times New Roman" w:hAnsi="Times New Roman"/>
          <w:sz w:val="20"/>
          <w:szCs w:val="20"/>
          <w:u w:val="single" w:color="auto"/>
          <w:color w:val="auto"/>
        </w:rPr>
      </w:pPr>
    </w:p>
    <w:p>
      <w:pPr>
        <w:jc w:val="both"/>
        <w:ind w:left="503" w:hanging="503"/>
        <w:spacing w:after="0" w:line="254" w:lineRule="auto"/>
        <w:tabs>
          <w:tab w:leader="none" w:pos="503" w:val="left"/>
        </w:tabs>
        <w:numPr>
          <w:ilvl w:val="0"/>
          <w:numId w:val="1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You hereby acknowledge and agree that by signing this Agreement, you are waiving your right to assert any Claim (as defined below) against Synlogic arising from acts or omissions that occurred on or before the Separation Date or the Effective Date, whichever is later. Please note definition of Synlogic contained in footnote 1 of this Agreement.</w:t>
      </w:r>
    </w:p>
    <w:p>
      <w:pPr>
        <w:spacing w:after="0" w:line="66" w:lineRule="exact"/>
        <w:rPr>
          <w:sz w:val="20"/>
          <w:szCs w:val="20"/>
          <w:color w:val="auto"/>
        </w:rPr>
      </w:pPr>
    </w:p>
    <w:p>
      <w:pPr>
        <w:jc w:val="both"/>
        <w:ind w:left="543" w:firstLine="749"/>
        <w:spacing w:after="0" w:line="241" w:lineRule="auto"/>
        <w:rPr>
          <w:sz w:val="20"/>
          <w:szCs w:val="20"/>
          <w:color w:val="auto"/>
        </w:rPr>
      </w:pPr>
      <w:r>
        <w:rPr>
          <w:rFonts w:ascii="Times New Roman" w:cs="Times New Roman" w:eastAsia="Times New Roman" w:hAnsi="Times New Roman"/>
          <w:sz w:val="20"/>
          <w:szCs w:val="20"/>
          <w:color w:val="auto"/>
        </w:rPr>
        <w:t>Your waiver and release is intended to bar any form of legal claim,lawsuit, charge, complaint or any other form of action (jointly referred to as “Claims”) against the Company seeking money or any other form of relief, including but not limited to equitable relief (whether declaratory, injunctive or otherwise),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and/or other source of law of any state, country and/or locality (collectively and individually referred to as “Law”), including but not limited to the United States, the Commonwealth of Massachusetts, and/or any other state or locality where you worked for the Company.</w:t>
      </w:r>
    </w:p>
    <w:p>
      <w:pPr>
        <w:spacing w:after="0" w:line="9"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471805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1"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341" w:lineRule="exact"/>
        <w:rPr>
          <w:sz w:val="20"/>
          <w:szCs w:val="20"/>
          <w:color w:val="auto"/>
        </w:rPr>
      </w:pPr>
    </w:p>
    <w:p>
      <w:pPr>
        <w:jc w:val="both"/>
        <w:ind w:left="543" w:firstLine="749"/>
        <w:spacing w:after="0" w:line="249" w:lineRule="auto"/>
        <w:rPr>
          <w:sz w:val="20"/>
          <w:szCs w:val="20"/>
          <w:color w:val="auto"/>
        </w:rPr>
      </w:pPr>
      <w:r>
        <w:rPr>
          <w:rFonts w:ascii="Times New Roman" w:cs="Times New Roman" w:eastAsia="Times New Roman" w:hAnsi="Times New Roman"/>
          <w:sz w:val="20"/>
          <w:szCs w:val="20"/>
          <w:color w:val="auto"/>
        </w:rPr>
        <w:t>Without limiting the foregoing general waiver and release, except for Claims resulting from the failure of the Company to perform its obligations under this Agreement, you specifically waive and release the Company from any Claims arising from or related to your employment relationship with the Company or the termination thereof, including without limitation:</w:t>
      </w:r>
    </w:p>
    <w:p>
      <w:pPr>
        <w:spacing w:after="0" w:line="72" w:lineRule="exact"/>
        <w:rPr>
          <w:sz w:val="20"/>
          <w:szCs w:val="20"/>
          <w:color w:val="auto"/>
        </w:rPr>
      </w:pPr>
    </w:p>
    <w:p>
      <w:pPr>
        <w:jc w:val="both"/>
        <w:ind w:left="1023" w:hanging="514"/>
        <w:spacing w:after="0" w:line="243" w:lineRule="auto"/>
        <w:tabs>
          <w:tab w:leader="none" w:pos="102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under any Law concerning discrimination, harassment, retaliation, or other fair employment practices, including, but not limited to the Massachusetts Anti-Discrimination and Anti-Harassment Law (M.G.L. c.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Title VII of the Civil Rights Act of 1964 (42 U.S.C. § 2000e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42 U.S.C. § 1981, the Civil Rights Act of 1991, Section1981 of the U.S.C. Title 42, the Americans with Disabilities Act (42 U.S.C. § 12101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the Occupational Safety and Health Act, 29 U.S.C. §651 et seq. each as they may have been amended through the Separation Date or the Effective Date, whichever is later.</w:t>
      </w:r>
    </w:p>
    <w:p>
      <w:pPr>
        <w:spacing w:after="0" w:line="81" w:lineRule="exact"/>
        <w:rPr>
          <w:rFonts w:ascii="Times New Roman" w:cs="Times New Roman" w:eastAsia="Times New Roman" w:hAnsi="Times New Roman"/>
          <w:sz w:val="20"/>
          <w:szCs w:val="20"/>
          <w:color w:val="auto"/>
        </w:rPr>
      </w:pPr>
    </w:p>
    <w:p>
      <w:pPr>
        <w:jc w:val="both"/>
        <w:ind w:left="1023" w:hanging="514"/>
        <w:spacing w:after="0" w:line="242" w:lineRule="auto"/>
        <w:tabs>
          <w:tab w:leader="none" w:pos="102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under any Law relating to wages, hours, whistle blowing, leaves of absences or any other terms and conditions of employment, including but not limited to the Family and Medical Leave Act of 1993 (29 U.S.C. § 2601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Emergency Family and Medical Leave Expansion Act (Pub. L. No. 116-127, § 3101, 134 Stat. 178, 189); the Emergency Paid Sick Leave Act (Pub. L. No. 116-127, § 5101, 134 Stat. 178, 195), the Employee Retirement Income Security Act (ERISA), the Fair Labor Standards Act, the Worker Adjustment and Retraining Notification (WARN) Act, the National Labor Relations Act (NLRA), the American Rescue Plan Act of 2021, the Massachusetts Payment of Wages Law (Massachusetts General Laws Chapter 149, §§ 148, 150), Massachusetts General Laws Chapter 149 in its entirety, Massachusetts General Laws Chapter 151 in its entirety (including but not limited to the minimum wage and overtime provisions), the Massachusetts Paid Family Medical Leave Act (M.G.L.c. 175M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each as they may have been amended through the Separation Date or the Effective Date, whichever is later. You specifically acknowledge that you are waiving any Claims for unpaid wages under these and other Laws.</w:t>
      </w:r>
    </w:p>
    <w:p>
      <w:pPr>
        <w:spacing w:after="0" w:line="81" w:lineRule="exact"/>
        <w:rPr>
          <w:rFonts w:ascii="Times New Roman" w:cs="Times New Roman" w:eastAsia="Times New Roman" w:hAnsi="Times New Roman"/>
          <w:sz w:val="20"/>
          <w:szCs w:val="20"/>
          <w:color w:val="auto"/>
        </w:rPr>
      </w:pPr>
    </w:p>
    <w:p>
      <w:pPr>
        <w:jc w:val="both"/>
        <w:ind w:left="1023" w:hanging="514"/>
        <w:spacing w:after="0" w:line="249" w:lineRule="auto"/>
        <w:tabs>
          <w:tab w:leader="none" w:pos="102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under any local, state or federal common law theory including, without limitation, any Claim for breach of contract, ownership of inventions or any other intellectual property, implied contract, misrepresentation (intentional or negligent), fraud, promissory estoppel,unjust enrichment, quantum meruit, defamation (libel or slander),or any other Claim sounding in contract or tort.</w:t>
      </w:r>
    </w:p>
    <w:p>
      <w:pPr>
        <w:spacing w:after="0" w:line="71" w:lineRule="exact"/>
        <w:rPr>
          <w:rFonts w:ascii="Times New Roman" w:cs="Times New Roman" w:eastAsia="Times New Roman" w:hAnsi="Times New Roman"/>
          <w:sz w:val="20"/>
          <w:szCs w:val="20"/>
          <w:color w:val="auto"/>
        </w:rPr>
      </w:pPr>
    </w:p>
    <w:p>
      <w:pPr>
        <w:ind w:left="1023" w:hanging="514"/>
        <w:spacing w:after="0"/>
        <w:tabs>
          <w:tab w:leader="none" w:pos="102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arising under the Company’s policies or benefit plans.</w:t>
      </w:r>
    </w:p>
    <w:p>
      <w:pPr>
        <w:spacing w:after="0" w:line="107" w:lineRule="exact"/>
        <w:rPr>
          <w:rFonts w:ascii="Times New Roman" w:cs="Times New Roman" w:eastAsia="Times New Roman" w:hAnsi="Times New Roman"/>
          <w:sz w:val="20"/>
          <w:szCs w:val="20"/>
          <w:color w:val="auto"/>
        </w:rPr>
      </w:pPr>
    </w:p>
    <w:p>
      <w:pPr>
        <w:ind w:left="1023" w:hanging="514"/>
        <w:spacing w:after="0"/>
        <w:tabs>
          <w:tab w:leader="none" w:pos="102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arising under any other Law or constitution.</w:t>
      </w:r>
    </w:p>
    <w:p>
      <w:pPr>
        <w:spacing w:after="0" w:line="229" w:lineRule="exact"/>
        <w:rPr>
          <w:sz w:val="20"/>
          <w:szCs w:val="20"/>
          <w:color w:val="auto"/>
        </w:rPr>
      </w:pPr>
    </w:p>
    <w:p>
      <w:pPr>
        <w:jc w:val="both"/>
        <w:ind w:left="543" w:firstLine="749"/>
        <w:spacing w:after="0" w:line="254" w:lineRule="auto"/>
        <w:rPr>
          <w:sz w:val="20"/>
          <w:szCs w:val="20"/>
          <w:color w:val="auto"/>
        </w:rPr>
      </w:pPr>
      <w:r>
        <w:rPr>
          <w:rFonts w:ascii="Times New Roman" w:cs="Times New Roman" w:eastAsia="Times New Roman" w:hAnsi="Times New Roman"/>
          <w:sz w:val="20"/>
          <w:szCs w:val="20"/>
          <w:color w:val="auto"/>
        </w:rPr>
        <w:t>Notwithstanding the foregoing, this Section shall not release Synlogic from any obligation expressly set forth in this Agreement. You acknowledge and agree that, but for providing this waiver and release, you would not be receiving the Severance Pay and Benefits provided for in this Agreement.</w:t>
      </w:r>
    </w:p>
    <w:p>
      <w:pPr>
        <w:spacing w:after="0" w:line="174" w:lineRule="exact"/>
        <w:rPr>
          <w:sz w:val="20"/>
          <w:szCs w:val="20"/>
          <w:color w:val="auto"/>
        </w:rPr>
      </w:pPr>
    </w:p>
    <w:p>
      <w:pPr>
        <w:ind w:left="503" w:right="60" w:hanging="503"/>
        <w:spacing w:after="0" w:line="245" w:lineRule="auto"/>
        <w:tabs>
          <w:tab w:leader="none" w:pos="503" w:val="left"/>
        </w:tabs>
        <w:numPr>
          <w:ilvl w:val="0"/>
          <w:numId w:val="1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OWBPA</w:t>
      </w:r>
      <w:r>
        <w:rPr>
          <w:rFonts w:ascii="Times New Roman" w:cs="Times New Roman" w:eastAsia="Times New Roman" w:hAnsi="Times New Roman"/>
          <w:sz w:val="20"/>
          <w:szCs w:val="20"/>
          <w:color w:val="auto"/>
        </w:rPr>
        <w:t>. Because you are at least forty (40) years of age, you have specific rights under the federal Age Discrimination in Employment Act (“ADEA”) and Older Workers Benefit Protection Act (“OWBPA”), which prohibit discrimination on the basis of age. The release in Section 7 is intended to release any Claim you may have against Synlogic alleging discrimination on the basis of age under the ADEA, OWBPA,and other Laws. Notwithstanding anything to the contrary in this Agreement, the release in Section 7 does not cover rights or Claims under the ADEA that arise after the date you sign this Agreement or the Effective Date, whichever is later.</w:t>
      </w:r>
    </w:p>
    <w:p>
      <w:pPr>
        <w:spacing w:after="0" w:line="76" w:lineRule="exact"/>
        <w:rPr>
          <w:sz w:val="20"/>
          <w:szCs w:val="20"/>
          <w:color w:val="auto"/>
        </w:rPr>
      </w:pPr>
    </w:p>
    <w:p>
      <w:pPr>
        <w:jc w:val="both"/>
        <w:ind w:left="543" w:firstLine="749"/>
        <w:spacing w:after="0" w:line="243" w:lineRule="auto"/>
        <w:rPr>
          <w:sz w:val="20"/>
          <w:szCs w:val="20"/>
          <w:color w:val="auto"/>
        </w:rPr>
      </w:pPr>
      <w:r>
        <w:rPr>
          <w:rFonts w:ascii="Times New Roman" w:cs="Times New Roman" w:eastAsia="Times New Roman" w:hAnsi="Times New Roman"/>
          <w:sz w:val="20"/>
          <w:szCs w:val="20"/>
          <w:color w:val="auto"/>
        </w:rPr>
        <w:t xml:space="preserve">Further, 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OWBPA,you are being provided with certain information, in the chart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Agreement, pertaining to the ages and job titles of employees in the same decisional unit who are affected and who are not affected by the reduction in force that is resulting in the termination of your employment. In addition, consistent with the provisions of the OWBPA,</w:t>
      </w:r>
    </w:p>
    <w:p>
      <w:pPr>
        <w:spacing w:after="0" w:line="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471805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1"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341" w:lineRule="exact"/>
        <w:rPr>
          <w:sz w:val="20"/>
          <w:szCs w:val="20"/>
          <w:color w:val="auto"/>
        </w:rPr>
      </w:pPr>
    </w:p>
    <w:p>
      <w:pPr>
        <w:jc w:val="both"/>
        <w:ind w:left="1060"/>
        <w:spacing w:after="0" w:line="243" w:lineRule="auto"/>
        <w:rPr>
          <w:sz w:val="20"/>
          <w:szCs w:val="20"/>
          <w:color w:val="auto"/>
        </w:rPr>
      </w:pPr>
      <w:r>
        <w:rPr>
          <w:rFonts w:ascii="Times New Roman" w:cs="Times New Roman" w:eastAsia="Times New Roman" w:hAnsi="Times New Roman"/>
          <w:sz w:val="20"/>
          <w:szCs w:val="20"/>
          <w:color w:val="auto"/>
        </w:rPr>
        <w:t>the Company is providing you with over forty-five (45) days from the date you are provided this Agreement to consider and accept the terms of this Agreement by signing below and returning it to Mary Beth Dooley, Head of Finance at marybeth@synlogictx.com or returning it to Synlogic, 301 Binney St, Cambridge, MA 02142 c/o Mary Beth Dooley, Head of Finance, and notifying Mary Beth Dooley by email that it has been sent by hard copy. You further agree that any changes to this Agreement will not restart the running of this 45-day period. In addition, you may rescind your assent to this Agreement if, within seven(7) days after you sign this Agreement, you deliver a notice of rescission to Synlogic. To be effective, such rescission must be hand delivered or postmarked within the seven (7) day period and sent by certified mail, return receipt requested, to Mary Beth Dooley at Synlogic at the above referenced address.</w:t>
      </w:r>
    </w:p>
    <w:p>
      <w:pPr>
        <w:spacing w:after="0" w:line="81" w:lineRule="exact"/>
        <w:rPr>
          <w:sz w:val="20"/>
          <w:szCs w:val="20"/>
          <w:color w:val="auto"/>
        </w:rPr>
      </w:pPr>
    </w:p>
    <w:p>
      <w:pPr>
        <w:jc w:val="both"/>
        <w:ind w:left="1060" w:firstLine="749"/>
        <w:spacing w:after="0" w:line="242" w:lineRule="auto"/>
        <w:rPr>
          <w:sz w:val="20"/>
          <w:szCs w:val="20"/>
          <w:color w:val="auto"/>
        </w:rPr>
      </w:pPr>
      <w:r>
        <w:rPr>
          <w:rFonts w:ascii="Times New Roman" w:cs="Times New Roman" w:eastAsia="Times New Roman" w:hAnsi="Times New Roman"/>
          <w:sz w:val="20"/>
          <w:szCs w:val="20"/>
          <w:color w:val="auto"/>
        </w:rPr>
        <w:t>Also, consistent with the provisions of state and federal discrimination laws (the “Discrimination Laws”), nothing in the general waiver and release set forth in Section 7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 However, the release in Section 7 does prohibit you from seeking or receiving monetary damages or other individual-specific relief in connection with any such charge or complaint of age or other work-related discrimination. Further, nothing in this Agreement shall be deemed to limit Synlogic’s right to seek immediate dismissal of such charge or complaint on the basis that your signing of this Agreement constitutes a full release of any individual rights under the Discrimination Laws, or Synlogic’s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spacing w:after="0" w:line="190" w:lineRule="exact"/>
        <w:rPr>
          <w:sz w:val="20"/>
          <w:szCs w:val="20"/>
          <w:color w:val="auto"/>
        </w:rPr>
      </w:pPr>
    </w:p>
    <w:p>
      <w:pPr>
        <w:jc w:val="both"/>
        <w:ind w:left="1020" w:hanging="503"/>
        <w:spacing w:after="0" w:line="246" w:lineRule="auto"/>
        <w:tabs>
          <w:tab w:leader="none" w:pos="1020" w:val="left"/>
        </w:tabs>
        <w:numPr>
          <w:ilvl w:val="0"/>
          <w:numId w:val="1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Consequences of Breach</w:t>
      </w:r>
      <w:r>
        <w:rPr>
          <w:rFonts w:ascii="Times New Roman" w:cs="Times New Roman" w:eastAsia="Times New Roman" w:hAnsi="Times New Roman"/>
          <w:sz w:val="20"/>
          <w:szCs w:val="20"/>
          <w:color w:val="auto"/>
        </w:rPr>
        <w:t>. In addition to any other remedies set forth in this Agreement, a breach by you of any of your obligations set forth in this Agreement shall constitute a material breach of this Agreement and, in addition to any other legal or equitable remedy available to Synlogic, shall entitle Synlogic to cease any further payment of the Severance Pay and Benefits, and to recover any Severance Pay or Benefits or its support for other benefits already provided to you. Regardless of any such breach, your release set forth in Section 7 above shall remain in full force and effect.</w:t>
      </w:r>
    </w:p>
    <w:p>
      <w:pPr>
        <w:spacing w:after="0" w:line="184" w:lineRule="exact"/>
        <w:rPr>
          <w:rFonts w:ascii="Times New Roman" w:cs="Times New Roman" w:eastAsia="Times New Roman" w:hAnsi="Times New Roman"/>
          <w:sz w:val="20"/>
          <w:szCs w:val="20"/>
          <w:u w:val="single" w:color="auto"/>
          <w:color w:val="auto"/>
        </w:rPr>
      </w:pPr>
    </w:p>
    <w:p>
      <w:pPr>
        <w:ind w:left="1020" w:hanging="503"/>
        <w:spacing w:after="0"/>
        <w:tabs>
          <w:tab w:leader="none" w:pos="1020" w:val="left"/>
        </w:tabs>
        <w:numPr>
          <w:ilvl w:val="0"/>
          <w:numId w:val="1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Entire Agreement/Choice of Law/Enforceability/Jury Waiver/Successors and Assigns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u w:val="single" w:color="auto"/>
          <w:color w:val="auto"/>
        </w:rPr>
      </w:pPr>
    </w:p>
    <w:p>
      <w:pPr>
        <w:jc w:val="both"/>
        <w:ind w:left="1540" w:hanging="514"/>
        <w:spacing w:after="0" w:line="254" w:lineRule="auto"/>
        <w:tabs>
          <w:tab w:leader="none" w:pos="15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this Agreement, this Agreement supersedes any and all other prior oral and/or written agreements and sets forth the entire agreement between you and Synlogic. No variations or modifications hereof shall be deemed valid unless reduced to writing and signed by the parties hereto.</w:t>
      </w:r>
    </w:p>
    <w:p>
      <w:pPr>
        <w:spacing w:after="0" w:line="66" w:lineRule="exact"/>
        <w:rPr>
          <w:rFonts w:ascii="Times New Roman" w:cs="Times New Roman" w:eastAsia="Times New Roman" w:hAnsi="Times New Roman"/>
          <w:sz w:val="20"/>
          <w:szCs w:val="20"/>
          <w:color w:val="auto"/>
        </w:rPr>
      </w:pPr>
    </w:p>
    <w:p>
      <w:pPr>
        <w:ind w:left="1540" w:hanging="514"/>
        <w:spacing w:after="0" w:line="269" w:lineRule="auto"/>
        <w:tabs>
          <w:tab w:leader="none" w:pos="15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the law of the state where you reside on the date you sign this Agreement, without giving effect to conflict of law principles.</w:t>
      </w:r>
    </w:p>
    <w:p>
      <w:pPr>
        <w:spacing w:after="0" w:line="51" w:lineRule="exact"/>
        <w:rPr>
          <w:rFonts w:ascii="Times New Roman" w:cs="Times New Roman" w:eastAsia="Times New Roman" w:hAnsi="Times New Roman"/>
          <w:sz w:val="20"/>
          <w:szCs w:val="20"/>
          <w:color w:val="auto"/>
        </w:rPr>
      </w:pPr>
    </w:p>
    <w:p>
      <w:pPr>
        <w:ind w:left="1540" w:hanging="514"/>
        <w:spacing w:after="0" w:line="269" w:lineRule="auto"/>
        <w:tabs>
          <w:tab w:leader="none" w:pos="15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parties further agree that any action, demand, claim or counterclaim relating to this Agreement shall be resolved by a judge alone, and both parties hereby waive and forever renounce the right to a trial before a civil jury.</w:t>
      </w:r>
    </w:p>
    <w:p>
      <w:pPr>
        <w:spacing w:after="0" w:line="51" w:lineRule="exact"/>
        <w:rPr>
          <w:rFonts w:ascii="Times New Roman" w:cs="Times New Roman" w:eastAsia="Times New Roman" w:hAnsi="Times New Roman"/>
          <w:sz w:val="20"/>
          <w:szCs w:val="20"/>
          <w:color w:val="auto"/>
        </w:rPr>
      </w:pPr>
    </w:p>
    <w:p>
      <w:pPr>
        <w:jc w:val="both"/>
        <w:ind w:left="1540" w:hanging="514"/>
        <w:spacing w:after="0" w:line="246" w:lineRule="auto"/>
        <w:tabs>
          <w:tab w:leader="none" w:pos="15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release of Claims pursuant to Section 7 is determined to be unenforceable in whole or part, the Company will have the option, in its sole discretion, to either (a) declare the entire Agreement null and void and require you to refund the Severance Pay and Benefits provided for in this Agreement; or (b) enforce the portions of the Agreement found not to be unenforceable. In the event that any other provision of this Agreement is determined to be unenforceable in whole or part, the remainder of the Agreement shall be enforced in full.</w:t>
      </w:r>
    </w:p>
    <w:p>
      <w:pPr>
        <w:spacing w:after="0" w:line="76"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inure to the benefit of Synlogic and any of its successors and assigns.</w:t>
      </w:r>
    </w:p>
    <w:p>
      <w:pPr>
        <w:spacing w:after="0" w:line="22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b w:val="1"/>
          <w:bCs w:val="1"/>
          <w:color w:val="auto"/>
        </w:rPr>
        <w:t>It is Synlogic’s desire and intent to make certain that you fully understand the provisions and effects of this Agreement. By executing this Agreement, you are acknowledging (a) that you have been afforded sufficient time to understand the terms and effects of this Agreement and to consult with legal counsel, (b) that your agreements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6" w:name="page177"/>
    <w:bookmarkEnd w:id="176"/>
    <w:p>
      <w:pPr>
        <w:ind w:left="10120"/>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4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obligations hereunder are made voluntarily, knowingly and without duress, and (c) that neither Synlogic nor its agents or representatives have made any representations inconsistent with the provisions of this Agreement.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you agree to the terms of this Agreement, please sign and return the enclosed copy of this Agreement by no later than March 27,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Very truly yours,</w:t>
            </w:r>
          </w:p>
        </w:tc>
        <w:tc>
          <w:tcPr>
            <w:tcW w:w="158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459"/>
        </w:trPr>
        <w:tc>
          <w:tcPr>
            <w:tcW w:w="3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Synlogic, Inc.</w:t>
            </w:r>
          </w:p>
        </w:tc>
        <w:tc>
          <w:tcPr>
            <w:tcW w:w="2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Accepted and Agreed To:</w:t>
            </w:r>
          </w:p>
        </w:tc>
      </w:tr>
      <w:tr>
        <w:trPr>
          <w:trHeight w:val="413"/>
        </w:trPr>
        <w:tc>
          <w:tcPr>
            <w:tcW w:w="3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Tony Awad</w:t>
            </w:r>
          </w:p>
        </w:tc>
        <w:tc>
          <w:tcPr>
            <w:tcW w:w="2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Aoife Brennan</w:t>
            </w: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7"/>
        </w:trPr>
        <w:tc>
          <w:tcPr>
            <w:tcW w:w="396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Tony Awad COO</w:t>
            </w:r>
          </w:p>
        </w:tc>
        <w:tc>
          <w:tcPr>
            <w:tcW w:w="2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Dated: 2/17/2024</w:t>
            </w:r>
          </w:p>
        </w:tc>
      </w:tr>
      <w:tr>
        <w:trPr>
          <w:trHeight w:val="258"/>
        </w:trPr>
        <w:tc>
          <w:tcPr>
            <w:tcW w:w="3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Dated: February 16, 2024</w:t>
            </w:r>
          </w:p>
        </w:tc>
        <w:tc>
          <w:tcPr>
            <w:tcW w:w="15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7" w:name="page178"/>
    <w:bookmarkEnd w:id="177"/>
    <w:p>
      <w:pPr>
        <w:ind w:left="4680"/>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57045" cy="6172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4">
                      <a:extLst>
                        <a:ext uri="{28A0092B-C50C-407E-A947-70E740481C1C}"/>
                      </a:extLst>
                    </a:blip>
                    <a:srcRect/>
                    <a:stretch>
                      <a:fillRect/>
                    </a:stretch>
                  </pic:blipFill>
                  <pic:spPr bwMode="auto">
                    <a:xfrm>
                      <a:off x="0" y="0"/>
                      <a:ext cx="17570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on November 9, 2023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Jensen</w:t>
      </w:r>
    </w:p>
    <w:p>
      <w:pPr>
        <w:spacing w:after="0" w:line="230" w:lineRule="auto"/>
        <w:rPr>
          <w:sz w:val="20"/>
          <w:szCs w:val="20"/>
          <w:color w:val="auto"/>
        </w:rPr>
      </w:pPr>
      <w:r>
        <w:rPr>
          <w:rFonts w:ascii="Times New Roman" w:cs="Times New Roman" w:eastAsia="Times New Roman" w:hAnsi="Times New Roman"/>
          <w:sz w:val="22"/>
          <w:szCs w:val="22"/>
          <w:color w:val="auto"/>
        </w:rPr>
        <w:t>____________</w:t>
      </w:r>
    </w:p>
    <w:p>
      <w:pPr>
        <w:spacing w:after="0" w:line="231" w:lineRule="auto"/>
        <w:rPr>
          <w:sz w:val="20"/>
          <w:szCs w:val="20"/>
          <w:color w:val="auto"/>
        </w:rPr>
      </w:pPr>
      <w:r>
        <w:rPr>
          <w:rFonts w:ascii="Times New Roman" w:cs="Times New Roman" w:eastAsia="Times New Roman" w:hAnsi="Times New Roman"/>
          <w:sz w:val="22"/>
          <w:szCs w:val="22"/>
          <w:color w:val="auto"/>
        </w:rPr>
        <w:t>Dear Michael,</w:t>
      </w:r>
    </w:p>
    <w:p>
      <w:pPr>
        <w:jc w:val="both"/>
        <w:ind w:firstLine="749"/>
        <w:spacing w:after="0" w:line="230" w:lineRule="auto"/>
        <w:rPr>
          <w:sz w:val="20"/>
          <w:szCs w:val="20"/>
          <w:color w:val="auto"/>
        </w:rPr>
      </w:pPr>
      <w:r>
        <w:rPr>
          <w:rFonts w:ascii="Times New Roman" w:cs="Times New Roman" w:eastAsia="Times New Roman" w:hAnsi="Times New Roman"/>
          <w:sz w:val="22"/>
          <w:szCs w:val="22"/>
          <w:color w:val="auto"/>
        </w:rPr>
        <w:t>The purpose of this letter agreement (“Agreement”) is to confirm the terms of your voluntary separation of employment from Synlogic, Inc. (“Synlogic” or “the Company”).</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The Bonus Pay and Benefits described below are contingent on your agreement to and compliance with the provisions of this Agreement, as set forth below. In order to accept the Bonus Pay and Benefits offered in this Agreement, you must sign and return the same on, or before November 30, 2023. This Agreement shall be effective on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you sign the same (the “Effective Date”).</w:t>
      </w:r>
    </w:p>
    <w:p>
      <w:pPr>
        <w:spacing w:after="0" w:line="6" w:lineRule="exact"/>
        <w:rPr>
          <w:sz w:val="20"/>
          <w:szCs w:val="20"/>
          <w:color w:val="auto"/>
        </w:rPr>
      </w:pPr>
    </w:p>
    <w:p>
      <w:pPr>
        <w:jc w:val="both"/>
        <w:ind w:left="1020" w:hanging="503"/>
        <w:spacing w:after="0" w:line="244" w:lineRule="auto"/>
        <w:tabs>
          <w:tab w:leader="none" w:pos="102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of Employment</w:t>
      </w:r>
      <w:r>
        <w:rPr>
          <w:rFonts w:ascii="Times New Roman" w:cs="Times New Roman" w:eastAsia="Times New Roman" w:hAnsi="Times New Roman"/>
          <w:sz w:val="21"/>
          <w:szCs w:val="21"/>
          <w:color w:val="auto"/>
        </w:rPr>
        <w:t>. You have notified us of your intent to resign, effective December 1, 2023. Upon your execution of this document,you shall be deemed to have resigned, with an effective date of resignation of December 1, 2023 (the “Separation Date”). You acknowledge that from and after the Separation Date, you have no authority to, and shall not, represent yourself as an employee or agent of the Company. Until the Separation Date, you agree, under the direction of Synlogic, to assist Synlogic in the transition of work in connection with any of the duties you have performed at the Company, or otherwise perform any specific project(s) assigned to you by the Company.</w:t>
      </w:r>
    </w:p>
    <w:p>
      <w:pPr>
        <w:spacing w:after="0" w:line="311" w:lineRule="exact"/>
        <w:rPr>
          <w:rFonts w:ascii="Times New Roman" w:cs="Times New Roman" w:eastAsia="Times New Roman" w:hAnsi="Times New Roman"/>
          <w:sz w:val="21"/>
          <w:szCs w:val="21"/>
          <w:color w:val="auto"/>
        </w:rPr>
      </w:pPr>
    </w:p>
    <w:p>
      <w:pPr>
        <w:ind w:left="1020" w:hanging="503"/>
        <w:spacing w:after="0" w:line="258" w:lineRule="auto"/>
        <w:tabs>
          <w:tab w:leader="none" w:pos="10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Pay and Benefits</w:t>
      </w:r>
      <w:r>
        <w:rPr>
          <w:rFonts w:ascii="Times New Roman" w:cs="Times New Roman" w:eastAsia="Times New Roman" w:hAnsi="Times New Roman"/>
          <w:sz w:val="22"/>
          <w:szCs w:val="22"/>
          <w:color w:val="auto"/>
        </w:rPr>
        <w:t>. Conditioned upon your signing and compliance with the terms of this Agreement, and subject to Board approval,the Company will provide you with the following:</w:t>
      </w:r>
    </w:p>
    <w:p>
      <w:pPr>
        <w:spacing w:after="0" w:line="50" w:lineRule="exact"/>
        <w:rPr>
          <w:rFonts w:ascii="Times New Roman" w:cs="Times New Roman" w:eastAsia="Times New Roman" w:hAnsi="Times New Roman"/>
          <w:sz w:val="22"/>
          <w:szCs w:val="22"/>
          <w:color w:val="auto"/>
        </w:rPr>
      </w:pPr>
    </w:p>
    <w:p>
      <w:pPr>
        <w:ind w:left="1540" w:hanging="514"/>
        <w:spacing w:after="0" w:line="258" w:lineRule="auto"/>
        <w:tabs>
          <w:tab w:leader="none" w:pos="154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Lump-sum amount</w:t>
      </w:r>
      <w:r>
        <w:rPr>
          <w:rFonts w:ascii="Times New Roman" w:cs="Times New Roman" w:eastAsia="Times New Roman" w:hAnsi="Times New Roman"/>
          <w:sz w:val="22"/>
          <w:szCs w:val="22"/>
          <w:color w:val="auto"/>
        </w:rPr>
        <w:t>: A lump-sum payment equal to $149,178 in lieu of any other bonus that you would be eligible for the fiscal year 2023, payable by December 31, 2023.</w:t>
      </w:r>
    </w:p>
    <w:p>
      <w:pPr>
        <w:spacing w:after="0" w:line="50" w:lineRule="exact"/>
        <w:rPr>
          <w:rFonts w:ascii="Times New Roman" w:cs="Times New Roman" w:eastAsia="Times New Roman" w:hAnsi="Times New Roman"/>
          <w:sz w:val="22"/>
          <w:szCs w:val="22"/>
          <w:color w:val="auto"/>
        </w:rPr>
      </w:pPr>
    </w:p>
    <w:p>
      <w:pPr>
        <w:jc w:val="both"/>
        <w:ind w:left="1540" w:hanging="514"/>
        <w:spacing w:after="0" w:line="247" w:lineRule="auto"/>
        <w:tabs>
          <w:tab w:leader="none" w:pos="154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Health Benefits</w:t>
      </w:r>
      <w:r>
        <w:rPr>
          <w:rFonts w:ascii="Times New Roman" w:cs="Times New Roman" w:eastAsia="Times New Roman" w:hAnsi="Times New Roman"/>
          <w:sz w:val="21"/>
          <w:szCs w:val="21"/>
          <w:color w:val="auto"/>
        </w:rPr>
        <w:t>. You will have the right to continue your participation in Synlogic’s medical and dental insurance programs through your Separation Date. You will then have the right to continue your participation in Synlogic’s medical and dental insurance programs subject to your timely applying and being eligible for such benefits pursuant to the provisions of the Consolidated Omnibus Budget Reconciliation Act of 1985 (COBRA). If you sign this Agreement and it becomes effective as set forth below, the Company will continue to pay the Company premium for such coverage for six (6) months following the Separation Date. Thereafter, your continuation of your medical and dental insurance pursuant to the provisions of COBRA will be solely at your own cost. The “qualifying event” under COBRA shall be deemed to have commenced on the Separation Date.</w:t>
      </w:r>
    </w:p>
    <w:p>
      <w:pPr>
        <w:spacing w:after="0" w:line="63" w:lineRule="exact"/>
        <w:rPr>
          <w:rFonts w:ascii="Times New Roman" w:cs="Times New Roman" w:eastAsia="Times New Roman" w:hAnsi="Times New Roman"/>
          <w:sz w:val="21"/>
          <w:szCs w:val="21"/>
          <w:color w:val="auto"/>
        </w:rPr>
      </w:pPr>
    </w:p>
    <w:p>
      <w:pPr>
        <w:ind w:left="1020" w:right="100" w:hanging="503"/>
        <w:spacing w:after="0" w:line="238" w:lineRule="auto"/>
        <w:tabs>
          <w:tab w:leader="none" w:pos="10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You will be entitled to exercise only those stock options granted to you and which are vested as of the Separation Date under the applicable Synlogic, Inc. equity plans and any amendments to those plan (the “Equity Plans”), and only in accordance with the terms and conditions of the Equity Plans. You acknowledge and agree that you do not and will not in the future have rights to vest in any other equity plans (of whatever name or kind) that you participated in or were eligible to participate in during your employment with the Company.</w:t>
      </w:r>
    </w:p>
    <w:p>
      <w:pPr>
        <w:spacing w:after="0" w:line="226" w:lineRule="exact"/>
        <w:rPr>
          <w:sz w:val="20"/>
          <w:szCs w:val="20"/>
          <w:color w:val="auto"/>
        </w:rPr>
      </w:pPr>
    </w:p>
    <w:p>
      <w:pPr>
        <w:ind w:firstLine="8"/>
        <w:spacing w:after="0" w:line="223" w:lineRule="auto"/>
        <w:tabs>
          <w:tab w:leader="none" w:pos="107" w:val="left"/>
        </w:tabs>
        <w:numPr>
          <w:ilvl w:val="0"/>
          <w:numId w:val="1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Except for the obligations set forth in Section 2 which shall be solely the obligations of Synlogic, Inc., whenever the term Synlogic, Inc. is otherwise used in this Agreement (including, without limitation, Section 7), it shall be deemed to include Synlogic, Inc.,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8" w:name="page179"/>
    <w:bookmarkEnd w:id="178"/>
    <w:p>
      <w:pPr>
        <w:ind w:left="4680"/>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57045" cy="6172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6">
                      <a:extLst>
                        <a:ext uri="{28A0092B-C50C-407E-A947-70E740481C1C}"/>
                      </a:extLst>
                    </a:blip>
                    <a:srcRect/>
                    <a:stretch>
                      <a:fillRect/>
                    </a:stretch>
                  </pic:blipFill>
                  <pic:spPr bwMode="auto">
                    <a:xfrm>
                      <a:off x="0" y="0"/>
                      <a:ext cx="17570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all of its divisions, affiliates and subsidiaries and all related entities (including investors), and its and their directors, officers, employees, agents, successors and assigns.</w:t>
      </w:r>
    </w:p>
    <w:p>
      <w:pPr>
        <w:spacing w:after="0" w:line="44" w:lineRule="exact"/>
        <w:rPr>
          <w:sz w:val="20"/>
          <w:szCs w:val="20"/>
          <w:color w:val="auto"/>
        </w:rPr>
      </w:pPr>
    </w:p>
    <w:p>
      <w:pPr>
        <w:jc w:val="both"/>
        <w:ind w:left="1020" w:hanging="503"/>
        <w:spacing w:after="0" w:line="246" w:lineRule="auto"/>
        <w:tabs>
          <w:tab w:leader="none" w:pos="102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You acknowledge and agree that the Bonus Pay and Benefits are intended to be and are in lieu of any Severance Pay and Benefits that you may be eligible for pursuant to an a January 24, 2022 Employment Letter Agreement, and that you will have no entitlement to any compensation, other payments or benefits under the Employment Agreement or any other agreement between you and the Company. You acknowledge and agree that the Bonus Pay and Benefits to be provided to you are not intended to, and shall not constitute, a severance plan and shall confer no benefit on anyone other than the Company and you. You further acknowledge that except for any unpaid regular wages (including accrued and unused vacation) earned through the Separation Date, which shall be paid on or around the Separation Date, you have been paid and provided all wages, vacation pay, holiday pay, bonus, business expenses, and any other form of compensation or benefit that may be due to you now or which would have become due in the future in connection with your employment or separation of employment with the Company.</w:t>
      </w:r>
    </w:p>
    <w:p>
      <w:pPr>
        <w:spacing w:after="0" w:line="62" w:lineRule="exact"/>
        <w:rPr>
          <w:rFonts w:ascii="Times New Roman" w:cs="Times New Roman" w:eastAsia="Times New Roman" w:hAnsi="Times New Roman"/>
          <w:sz w:val="21"/>
          <w:szCs w:val="21"/>
          <w:color w:val="auto"/>
        </w:rPr>
      </w:pPr>
    </w:p>
    <w:p>
      <w:pPr>
        <w:ind w:left="1020" w:hanging="503"/>
        <w:spacing w:after="0"/>
        <w:tabs>
          <w:tab w:leader="none" w:pos="10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 Confidentiality, Non-Disparagement</w:t>
      </w:r>
      <w:r>
        <w:rPr>
          <w:rFonts w:ascii="Times New Roman" w:cs="Times New Roman" w:eastAsia="Times New Roman" w:hAnsi="Times New Roman"/>
          <w:sz w:val="22"/>
          <w:szCs w:val="22"/>
          <w:color w:val="auto"/>
        </w:rPr>
        <w:t>. You expressly acknowledge and agree to the following:</w:t>
      </w:r>
    </w:p>
    <w:p>
      <w:pPr>
        <w:spacing w:after="0" w:line="98" w:lineRule="exact"/>
        <w:rPr>
          <w:rFonts w:ascii="Times New Roman" w:cs="Times New Roman" w:eastAsia="Times New Roman" w:hAnsi="Times New Roman"/>
          <w:sz w:val="22"/>
          <w:szCs w:val="22"/>
          <w:color w:val="auto"/>
        </w:rPr>
      </w:pPr>
    </w:p>
    <w:p>
      <w:pPr>
        <w:jc w:val="both"/>
        <w:ind w:left="1540" w:hanging="514"/>
        <w:spacing w:after="0" w:line="234" w:lineRule="auto"/>
        <w:tabs>
          <w:tab w:leader="none" w:pos="154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you will abide by any and all obligations contained in agreements you have executed including the Non-Competition, Non-Solicitation Agreement, Invention and Non-Disclosure Agreements (copies of which can be provided to you), the terms of which are hereby incorporated by reference, which shall survive the signing of this Agreement, and which you hereby affirm. You further agree that you otherwise will keep all confidential information and trade secrets of the Company confidential, and that you will abide by any and all common law and/or statutory obligations relating to protection and non-disclosure of the Company’s trade secrets and/or confidential and proprietary documents and information. Consistent with applicable law, the Company is providing you with the notice of immunity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is a part of this Agreement and each other agreement referenced in this subsection.</w:t>
      </w:r>
    </w:p>
    <w:p>
      <w:pPr>
        <w:spacing w:after="0" w:line="75" w:lineRule="exact"/>
        <w:rPr>
          <w:rFonts w:ascii="Times New Roman" w:cs="Times New Roman" w:eastAsia="Times New Roman" w:hAnsi="Times New Roman"/>
          <w:sz w:val="22"/>
          <w:szCs w:val="22"/>
          <w:color w:val="auto"/>
        </w:rPr>
      </w:pPr>
    </w:p>
    <w:p>
      <w:pPr>
        <w:jc w:val="both"/>
        <w:ind w:left="1540" w:hanging="514"/>
        <w:spacing w:after="0" w:line="236" w:lineRule="auto"/>
        <w:tabs>
          <w:tab w:leader="none" w:pos="154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obligations, that you will promptly return to the Company all the Company documents(and any copies)and property (including all electronically stored information) regardless of where such documents, information or property is maintained. You acknowledge and agree that you shall not maintain any copies or duplicates of such documents or information.You further acknowledge that if you were to use or disclose any of the information reflected in such items, that this would cause immediate, substantial and irreparable harm to the Company.</w:t>
      </w:r>
    </w:p>
    <w:p>
      <w:pPr>
        <w:spacing w:after="0" w:line="73" w:lineRule="exact"/>
        <w:rPr>
          <w:rFonts w:ascii="Times New Roman" w:cs="Times New Roman" w:eastAsia="Times New Roman" w:hAnsi="Times New Roman"/>
          <w:sz w:val="22"/>
          <w:szCs w:val="22"/>
          <w:color w:val="auto"/>
        </w:rPr>
      </w:pPr>
    </w:p>
    <w:p>
      <w:pPr>
        <w:jc w:val="both"/>
        <w:ind w:left="1540" w:hanging="514"/>
        <w:spacing w:after="0" w:line="235" w:lineRule="auto"/>
        <w:tabs>
          <w:tab w:leader="none" w:pos="154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you will not make any oral or written statements (including on any social media or other similar platform) that are professionally or personally disparaging about, or adverse to, the interests of the Company(including its officers,directors, employees and consultants) including, but not limited to, any statements that disparage any person,product, service, finances,financial condition, capability or any other aspect of the business of the Company, and that you will not engage in any conduct which could reasonably be expected to harm professionally or personally the reputation of the Company (including its officers, directors, employees and consultants).</w:t>
      </w:r>
    </w:p>
    <w:p>
      <w:pPr>
        <w:spacing w:after="0" w:line="75" w:lineRule="exact"/>
        <w:rPr>
          <w:rFonts w:ascii="Times New Roman" w:cs="Times New Roman" w:eastAsia="Times New Roman" w:hAnsi="Times New Roman"/>
          <w:sz w:val="22"/>
          <w:szCs w:val="22"/>
          <w:color w:val="auto"/>
        </w:rPr>
      </w:pPr>
    </w:p>
    <w:p>
      <w:pPr>
        <w:jc w:val="both"/>
        <w:ind w:left="1540" w:hanging="514"/>
        <w:spacing w:after="0" w:line="244" w:lineRule="auto"/>
        <w:tabs>
          <w:tab w:leader="none" w:pos="154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Bonus Pay and Benefits being offered are based on your representations that you have not engaged in any fraudulent or unlawful conduct, and that you have fully disclosed to the Company all material information relating to your job duties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9" w:name="page180"/>
    <w:bookmarkEnd w:id="179"/>
    <w:p>
      <w:pPr>
        <w:ind w:left="4163"/>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19685</wp:posOffset>
            </wp:positionV>
            <wp:extent cx="1757045" cy="6172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8">
                      <a:extLst>
                        <a:ext uri="{28A0092B-C50C-407E-A947-70E740481C1C}"/>
                      </a:extLst>
                    </a:blip>
                    <a:srcRect/>
                    <a:stretch>
                      <a:fillRect/>
                    </a:stretch>
                  </pic:blipFill>
                  <pic:spPr bwMode="auto">
                    <a:xfrm>
                      <a:off x="0" y="0"/>
                      <a:ext cx="17570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023" w:hanging="514"/>
        <w:spacing w:after="0" w:line="234" w:lineRule="auto"/>
        <w:tabs>
          <w:tab w:leader="none" w:pos="102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in the event of your breach of any of your agreements set forth in this Section 5 the Company would suffer substantial irreparable harm and that the Company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You further agree that the Company shall be entitled to its costs and fees, including attorneys’ fees, incurred by it should it prevail in enforcing and provision of this Agreement.</w:t>
      </w:r>
    </w:p>
    <w:p>
      <w:pPr>
        <w:spacing w:after="0" w:line="71" w:lineRule="exact"/>
        <w:rPr>
          <w:rFonts w:ascii="Times New Roman" w:cs="Times New Roman" w:eastAsia="Times New Roman" w:hAnsi="Times New Roman"/>
          <w:sz w:val="22"/>
          <w:szCs w:val="22"/>
          <w:color w:val="auto"/>
        </w:rPr>
      </w:pPr>
    </w:p>
    <w:p>
      <w:pPr>
        <w:jc w:val="both"/>
        <w:ind w:left="503" w:hanging="503"/>
        <w:spacing w:after="0" w:line="244" w:lineRule="auto"/>
        <w:tabs>
          <w:tab w:leader="none" w:pos="503"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Cooperation/Transition of Duties</w:t>
      </w:r>
      <w:r>
        <w:rPr>
          <w:rFonts w:ascii="Times New Roman" w:cs="Times New Roman" w:eastAsia="Times New Roman" w:hAnsi="Times New Roman"/>
          <w:sz w:val="21"/>
          <w:szCs w:val="21"/>
          <w:color w:val="auto"/>
        </w:rPr>
        <w:t>. You agree that from now until January 30, 2024 you will make yourself reasonably available to the Company, upon reasonable notice, either by email, telephone or, if the Company believes necessary, in person to assist the Company in any matter relating to the services performed by you during your employment with the Company including, but not limited,transitioning your duties to others at the Company. You further agree that during this period of time and thereafter you will cooperate fully with the Company in the defense or prosecution of any claims or actions now in existence or which may be brought or threatened in the future against or on behalf of the Company, including any claim or action against its directors, officers and employees. Your cooperation in connection with such claims or actions shall include, your being available</w:t>
      </w:r>
      <w:r>
        <w:rPr>
          <w:rFonts w:ascii="Times New Roman" w:cs="Times New Roman" w:eastAsia="Times New Roman" w:hAnsi="Times New Roman"/>
          <w:sz w:val="21"/>
          <w:szCs w:val="21"/>
          <w:b w:val="1"/>
          <w:bCs w:val="1"/>
          <w:color w:val="auto"/>
        </w:rPr>
        <w:t>, within reason given the constraints of future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employment or job search activities, to </w:t>
      </w:r>
      <w:r>
        <w:rPr>
          <w:rFonts w:ascii="Times New Roman" w:cs="Times New Roman" w:eastAsia="Times New Roman" w:hAnsi="Times New Roman"/>
          <w:sz w:val="21"/>
          <w:szCs w:val="21"/>
          <w:color w:val="auto"/>
        </w:rPr>
        <w:t>meet with the Company to prepare for any proceeding, to provide truthful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affidavits and/or testimony, to assist with any audit, inspection, proceeding or other inquiry, and to act as a witness in connection with any litigation or other legal proceeding affecting the Company. You further agree that should an individual representing a party adverse to the business or legal interests of the Company (including, without limitation, anyone threatening any form of legal action against the Company) contact you (directly or indirectly), you will promptly (within 48 hours) inform the Company of that fact. Nothing herein shall be construed to prohibit or prevent you from cooperating with any government investigation (including maintaining the confidentiality of such investigation if required by the government), nor shall any such cooperation be deemed to be a violation of your obligations of non- disparagement set forth in Section 5(iii) above.</w:t>
      </w:r>
    </w:p>
    <w:p>
      <w:pPr>
        <w:spacing w:after="0" w:line="65" w:lineRule="exact"/>
        <w:rPr>
          <w:rFonts w:ascii="Times New Roman" w:cs="Times New Roman" w:eastAsia="Times New Roman" w:hAnsi="Times New Roman"/>
          <w:sz w:val="21"/>
          <w:szCs w:val="21"/>
          <w:color w:val="auto"/>
        </w:rPr>
      </w:pPr>
    </w:p>
    <w:p>
      <w:pPr>
        <w:ind w:left="503" w:right="100" w:hanging="503"/>
        <w:spacing w:after="0" w:line="239" w:lineRule="auto"/>
        <w:tabs>
          <w:tab w:leader="none" w:pos="50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You hereby acknowledge and agree that by signing this Agreement, you are waiving your right to assert any Claim (as defined below) against Synlogic arising from acts or omissions that occurred on or before the Separation Date or the Effective Date, whichever is later. Please note the definition of Synlogic contained in footnote 1 of this Agreement.</w:t>
      </w:r>
    </w:p>
    <w:p>
      <w:pPr>
        <w:spacing w:after="0" w:line="72" w:lineRule="exact"/>
        <w:rPr>
          <w:sz w:val="20"/>
          <w:szCs w:val="20"/>
          <w:color w:val="auto"/>
        </w:rPr>
      </w:pPr>
    </w:p>
    <w:p>
      <w:pPr>
        <w:jc w:val="both"/>
        <w:ind w:left="543" w:firstLine="749"/>
        <w:spacing w:after="0" w:line="234" w:lineRule="auto"/>
        <w:rPr>
          <w:sz w:val="20"/>
          <w:szCs w:val="20"/>
          <w:color w:val="auto"/>
        </w:rPr>
      </w:pPr>
      <w:r>
        <w:rPr>
          <w:rFonts w:ascii="Times New Roman" w:cs="Times New Roman" w:eastAsia="Times New Roman" w:hAnsi="Times New Roman"/>
          <w:sz w:val="22"/>
          <w:szCs w:val="22"/>
          <w:color w:val="auto"/>
        </w:rPr>
        <w:t>Your waiver and release is intended to bar any form of legal claim, lawsuit, charge, complaint or any other form of action (jointly referred to as “Claims”) against the Company seeking money or any other form of relief, including but not limited to equitable relief (whether declaratory,injunctive or otherwise),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and/or other source of law of any state,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461645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5" w:right="339" w:bottom="1440" w:gutter="0" w:footer="0" w:header="0"/>
        </w:sectPr>
      </w:pPr>
    </w:p>
    <w:bookmarkStart w:id="180" w:name="page181"/>
    <w:bookmarkEnd w:id="180"/>
    <w:p>
      <w:pPr>
        <w:ind w:left="4163"/>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19685</wp:posOffset>
            </wp:positionV>
            <wp:extent cx="1757045" cy="6172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0">
                      <a:extLst>
                        <a:ext uri="{28A0092B-C50C-407E-A947-70E740481C1C}"/>
                      </a:extLst>
                    </a:blip>
                    <a:srcRect/>
                    <a:stretch>
                      <a:fillRect/>
                    </a:stretch>
                  </pic:blipFill>
                  <pic:spPr bwMode="auto">
                    <a:xfrm>
                      <a:off x="0" y="0"/>
                      <a:ext cx="17570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543" w:right="20"/>
        <w:spacing w:after="0" w:line="258" w:lineRule="auto"/>
        <w:rPr>
          <w:sz w:val="20"/>
          <w:szCs w:val="20"/>
          <w:color w:val="auto"/>
        </w:rPr>
      </w:pPr>
      <w:r>
        <w:rPr>
          <w:rFonts w:ascii="Times New Roman" w:cs="Times New Roman" w:eastAsia="Times New Roman" w:hAnsi="Times New Roman"/>
          <w:sz w:val="22"/>
          <w:szCs w:val="22"/>
          <w:color w:val="auto"/>
        </w:rPr>
        <w:t>and/or locality (collectively and individually referred to as “Law”), including but not limited to the United States, the Commonwealth of Massachusetts, and/or any other state or locality where you worked for the Company.</w:t>
      </w:r>
    </w:p>
    <w:p>
      <w:pPr>
        <w:spacing w:after="0" w:line="50" w:lineRule="exact"/>
        <w:rPr>
          <w:sz w:val="20"/>
          <w:szCs w:val="20"/>
          <w:color w:val="auto"/>
        </w:rPr>
      </w:pPr>
    </w:p>
    <w:p>
      <w:pPr>
        <w:jc w:val="both"/>
        <w:ind w:left="543" w:firstLine="749"/>
        <w:spacing w:after="0" w:line="239" w:lineRule="auto"/>
        <w:rPr>
          <w:sz w:val="20"/>
          <w:szCs w:val="20"/>
          <w:color w:val="auto"/>
        </w:rPr>
      </w:pPr>
      <w:r>
        <w:rPr>
          <w:rFonts w:ascii="Times New Roman" w:cs="Times New Roman" w:eastAsia="Times New Roman" w:hAnsi="Times New Roman"/>
          <w:sz w:val="22"/>
          <w:szCs w:val="22"/>
          <w:color w:val="auto"/>
        </w:rPr>
        <w:t>Without limiting the foregoing general waiver and release,except for Claims resulting from the failure of the Company to perform its obligations under this Agreement, you specifically waive and release the Company from any Claims arising from or related to your employment relationship with the Company or the termination thereof, including without limitation:</w:t>
      </w:r>
    </w:p>
    <w:p>
      <w:pPr>
        <w:spacing w:after="0" w:line="72" w:lineRule="exact"/>
        <w:rPr>
          <w:sz w:val="20"/>
          <w:szCs w:val="20"/>
          <w:color w:val="auto"/>
        </w:rPr>
      </w:pPr>
    </w:p>
    <w:p>
      <w:pPr>
        <w:jc w:val="both"/>
        <w:ind w:left="1023" w:hanging="514"/>
        <w:spacing w:after="0" w:line="234" w:lineRule="auto"/>
        <w:tabs>
          <w:tab w:leader="none" w:pos="10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Claims under any Law concerning discrimination, harassment, retaliation, or other fair employment practices, including, but not limited to the Massachusetts Anti- Discrimination and Anti-Harassment Law (M.G.L. c.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Times New Roman" w:cs="Times New Roman" w:eastAsia="Times New Roman" w:hAnsi="Times New Roman"/>
          <w:sz w:val="22"/>
          <w:szCs w:val="22"/>
          <w:i w:val="1"/>
          <w:i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seq.</w:t>
      </w:r>
      <w:r>
        <w:rPr>
          <w:rFonts w:ascii="Times New Roman" w:cs="Times New Roman" w:eastAsia="Times New Roman" w:hAnsi="Times New Roman"/>
          <w:sz w:val="22"/>
          <w:szCs w:val="22"/>
          <w:color w:val="auto"/>
        </w:rPr>
        <w:t>), Title VII of the Civil Rights Act of 1964 (42 U.S.C.§ 2000e</w:t>
      </w:r>
      <w:r>
        <w:rPr>
          <w:rFonts w:ascii="Times New Roman" w:cs="Times New Roman" w:eastAsia="Times New Roman" w:hAnsi="Times New Roman"/>
          <w:sz w:val="22"/>
          <w:szCs w:val="22"/>
          <w:i w:val="1"/>
          <w:iCs w:val="1"/>
          <w:color w:val="auto"/>
        </w:rPr>
        <w:t xml:space="preserve"> et seq.</w:t>
      </w:r>
      <w:r>
        <w:rPr>
          <w:rFonts w:ascii="Times New Roman" w:cs="Times New Roman" w:eastAsia="Times New Roman" w:hAnsi="Times New Roman"/>
          <w:sz w:val="22"/>
          <w:szCs w:val="22"/>
          <w:color w:val="auto"/>
        </w:rPr>
        <w:t>), 42 U.S.C.§ 1981, the Civil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Act of 1991, Section1981 of the U.S.C. Title 42, the Americans with Disabilities Act (42 U.S.C. § 12101 </w:t>
      </w:r>
      <w:r>
        <w:rPr>
          <w:rFonts w:ascii="Times New Roman" w:cs="Times New Roman" w:eastAsia="Times New Roman" w:hAnsi="Times New Roman"/>
          <w:sz w:val="22"/>
          <w:szCs w:val="22"/>
          <w:i w:val="1"/>
          <w:i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seq.</w:t>
      </w:r>
      <w:r>
        <w:rPr>
          <w:rFonts w:ascii="Times New Roman" w:cs="Times New Roman" w:eastAsia="Times New Roman" w:hAnsi="Times New Roman"/>
          <w:sz w:val="22"/>
          <w:szCs w:val="22"/>
          <w:color w:val="auto"/>
        </w:rPr>
        <w:t>), the Occupational Safety and Health Act, 29 U.S.C. §651 et seq. each as they may have been amended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 the Separation Date or the Effective Date, whichever is later.</w:t>
      </w:r>
    </w:p>
    <w:p>
      <w:pPr>
        <w:spacing w:after="0" w:line="75" w:lineRule="exact"/>
        <w:rPr>
          <w:rFonts w:ascii="Times New Roman" w:cs="Times New Roman" w:eastAsia="Times New Roman" w:hAnsi="Times New Roman"/>
          <w:sz w:val="22"/>
          <w:szCs w:val="22"/>
          <w:color w:val="auto"/>
        </w:rPr>
      </w:pPr>
    </w:p>
    <w:p>
      <w:pPr>
        <w:jc w:val="both"/>
        <w:ind w:left="1023" w:hanging="514"/>
        <w:spacing w:after="0" w:line="233" w:lineRule="auto"/>
        <w:tabs>
          <w:tab w:leader="none" w:pos="10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Claims under any Law relating to wages, hours,whistleblowing, leaves of absences or any other terms and conditions of employment, including but not limited to the Family and Medical Leave Act of 1993 (29 U.S.C. §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Emergency Family and Medical Leave Expansion Act (Pub. L. No. 116-127, § 3101, 134 Stat. 178, 189); the Emergency Paid Sick Leave Act (Pub. L. No. 116-127, § 5101, 134 Stat. 178, 195), the Employee Retirement Income Security Act (ERISA), the Fair Labor Standards Act, the Worker Adjustment and Retraining Notification (WARN) Act, the National Labor Relations Act (NLRA), the American Rescue Plan Act of 2021, the Massachusetts Payment of Wages Law (Massachusetts General Laws Chapter 149, §§ 148, 150), Massachusetts General Laws Chapter 149 in its entirety, Massachusetts General Laws Chapter 151 in its entirety (including but not limited to the minimum wage and overtime provisions), the Massachusetts Paid Family Medical Leave Act (M.G.L. c. 175M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each as they may have been amended through the Separation Date or the Effective Date, whichever is later. You specifically acknowledge that you are waiving any Claims for unpaid wages under these and other Laws.</w:t>
      </w:r>
    </w:p>
    <w:p>
      <w:pPr>
        <w:spacing w:after="0" w:line="76" w:lineRule="exact"/>
        <w:rPr>
          <w:rFonts w:ascii="Times New Roman" w:cs="Times New Roman" w:eastAsia="Times New Roman" w:hAnsi="Times New Roman"/>
          <w:sz w:val="22"/>
          <w:szCs w:val="22"/>
          <w:color w:val="auto"/>
        </w:rPr>
      </w:pPr>
    </w:p>
    <w:p>
      <w:pPr>
        <w:jc w:val="both"/>
        <w:ind w:left="1023" w:hanging="514"/>
        <w:spacing w:after="0" w:line="239" w:lineRule="auto"/>
        <w:tabs>
          <w:tab w:leader="none" w:pos="10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any local, state or federal common law theory including, without limitation, any Claim for breach of contract, ownership of inventions or any other intellectual property, implied contract, misrepresentation (intentional or negligent), fraud, promissory estoppel, unjust enrichment, quantum meruit, defamation (libel or slander), or any other Claim sounding in contract or tort.</w:t>
      </w:r>
    </w:p>
    <w:p>
      <w:pPr>
        <w:spacing w:after="0" w:line="72" w:lineRule="exact"/>
        <w:rPr>
          <w:rFonts w:ascii="Times New Roman" w:cs="Times New Roman" w:eastAsia="Times New Roman" w:hAnsi="Times New Roman"/>
          <w:sz w:val="22"/>
          <w:szCs w:val="22"/>
          <w:color w:val="auto"/>
        </w:rPr>
      </w:pPr>
    </w:p>
    <w:p>
      <w:pPr>
        <w:ind w:left="1023" w:hanging="514"/>
        <w:spacing w:after="0"/>
        <w:tabs>
          <w:tab w:leader="none" w:pos="10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arising under the Company’s policies or benefit plans.</w:t>
      </w:r>
    </w:p>
    <w:p>
      <w:pPr>
        <w:spacing w:after="0" w:line="98" w:lineRule="exact"/>
        <w:rPr>
          <w:rFonts w:ascii="Times New Roman" w:cs="Times New Roman" w:eastAsia="Times New Roman" w:hAnsi="Times New Roman"/>
          <w:sz w:val="22"/>
          <w:szCs w:val="22"/>
          <w:color w:val="auto"/>
        </w:rPr>
      </w:pPr>
    </w:p>
    <w:p>
      <w:pPr>
        <w:ind w:left="1023" w:hanging="514"/>
        <w:spacing w:after="0"/>
        <w:tabs>
          <w:tab w:leader="none" w:pos="10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arising under any other Law or constitution.</w:t>
      </w:r>
    </w:p>
    <w:p>
      <w:pPr>
        <w:spacing w:after="0" w:line="98" w:lineRule="exact"/>
        <w:rPr>
          <w:sz w:val="20"/>
          <w:szCs w:val="20"/>
          <w:color w:val="auto"/>
        </w:rPr>
      </w:pPr>
    </w:p>
    <w:p>
      <w:pPr>
        <w:jc w:val="both"/>
        <w:ind w:left="543" w:firstLine="449"/>
        <w:spacing w:after="0" w:line="244" w:lineRule="auto"/>
        <w:rPr>
          <w:sz w:val="20"/>
          <w:szCs w:val="20"/>
          <w:color w:val="auto"/>
        </w:rPr>
      </w:pPr>
      <w:r>
        <w:rPr>
          <w:rFonts w:ascii="Times New Roman" w:cs="Times New Roman" w:eastAsia="Times New Roman" w:hAnsi="Times New Roman"/>
          <w:sz w:val="22"/>
          <w:szCs w:val="22"/>
          <w:color w:val="auto"/>
        </w:rPr>
        <w:t>Notwithstanding the foregoing, this Section shall not release Synlogic from any obligation expressly set forth in this Agreement. You acknowledge and agree that, but for providing this waiver and release, you would not be receiving the Bonus Pay and Benefits provided for in this Agreement.</w:t>
      </w:r>
    </w:p>
    <w:p>
      <w:pPr>
        <w:spacing w:after="0" w:line="65" w:lineRule="exact"/>
        <w:rPr>
          <w:sz w:val="20"/>
          <w:szCs w:val="20"/>
          <w:color w:val="auto"/>
        </w:rPr>
      </w:pPr>
    </w:p>
    <w:p>
      <w:pPr>
        <w:ind w:left="503" w:right="1180" w:hanging="503"/>
        <w:spacing w:after="0" w:line="258" w:lineRule="auto"/>
        <w:tabs>
          <w:tab w:leader="none" w:pos="50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OWBPA</w:t>
      </w:r>
      <w:r>
        <w:rPr>
          <w:rFonts w:ascii="Times New Roman" w:cs="Times New Roman" w:eastAsia="Times New Roman" w:hAnsi="Times New Roman"/>
          <w:sz w:val="22"/>
          <w:szCs w:val="22"/>
          <w:color w:val="auto"/>
        </w:rPr>
        <w:t>. Because you are at least forty (40) years of age, you have specific rights under the federal Age Discrimination in Employment Act (“ADEA”) and Older Workers Benefit Protection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448310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5" w:right="339" w:bottom="1440" w:gutter="0" w:footer="0" w:header="0"/>
        </w:sectPr>
      </w:pPr>
    </w:p>
    <w:bookmarkStart w:id="181" w:name="page182"/>
    <w:bookmarkEnd w:id="181"/>
    <w:p>
      <w:pPr>
        <w:ind w:left="4163"/>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19685</wp:posOffset>
            </wp:positionV>
            <wp:extent cx="1757045" cy="6172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2">
                      <a:extLst>
                        <a:ext uri="{28A0092B-C50C-407E-A947-70E740481C1C}"/>
                      </a:extLst>
                    </a:blip>
                    <a:srcRect/>
                    <a:stretch>
                      <a:fillRect/>
                    </a:stretch>
                  </pic:blipFill>
                  <pic:spPr bwMode="auto">
                    <a:xfrm>
                      <a:off x="0" y="0"/>
                      <a:ext cx="17570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3"/>
        <w:spacing w:after="0" w:line="255" w:lineRule="auto"/>
        <w:rPr>
          <w:sz w:val="20"/>
          <w:szCs w:val="20"/>
          <w:color w:val="auto"/>
        </w:rPr>
      </w:pPr>
      <w:r>
        <w:rPr>
          <w:rFonts w:ascii="Times New Roman" w:cs="Times New Roman" w:eastAsia="Times New Roman" w:hAnsi="Times New Roman"/>
          <w:sz w:val="21"/>
          <w:szCs w:val="21"/>
          <w:color w:val="auto"/>
        </w:rPr>
        <w:t>(“OWBPA”), which prohibit discrimination on the basis of age. The release in Section 7 is intended to release any Claim you may have against Synlogic alleging discrimination on the basis of age under the ADEA, OWBPA, and other Laws. Notwithstanding anything to the contrary in this Agreement, the release in Section 7 does not cover rights or Claims under the ADEA that arise after the date you sign this Agreement or the Effective Date, whichever is later.</w:t>
      </w:r>
    </w:p>
    <w:p>
      <w:pPr>
        <w:spacing w:after="0" w:line="54" w:lineRule="exact"/>
        <w:rPr>
          <w:sz w:val="20"/>
          <w:szCs w:val="20"/>
          <w:color w:val="auto"/>
        </w:rPr>
      </w:pPr>
    </w:p>
    <w:p>
      <w:pPr>
        <w:jc w:val="both"/>
        <w:ind w:left="543" w:firstLine="749"/>
        <w:spacing w:after="0" w:line="234" w:lineRule="auto"/>
        <w:rPr>
          <w:sz w:val="20"/>
          <w:szCs w:val="20"/>
          <w:color w:val="auto"/>
        </w:rPr>
      </w:pPr>
      <w:r>
        <w:rPr>
          <w:rFonts w:ascii="Times New Roman" w:cs="Times New Roman" w:eastAsia="Times New Roman" w:hAnsi="Times New Roman"/>
          <w:sz w:val="22"/>
          <w:szCs w:val="22"/>
          <w:color w:val="auto"/>
        </w:rPr>
        <w:t>Further, 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 the Company is providing you with twenty-one (21) days from the date you are provided this Agreement (until November 30, 2023) to consider and accept the terms of this Agreement by signing below and returning it to Synlogic, 301 Binney St, Cambridge, MA 02142 c/o Adam Thomas, CHRO. In addition, you may rescind your assent to this Agreement if, within seven (7) days after you sign this Agreement, you deliver a notice of rescission to Adam Thomas at Synlogic. To be effective, such rescission must be hand delivered or postmarked within the seven (7) day period and sent by certified mail, return receipt requested, to Adam Thomas at Synlogic at the above referenced address.</w:t>
      </w:r>
    </w:p>
    <w:p>
      <w:pPr>
        <w:spacing w:after="0" w:line="71" w:lineRule="exact"/>
        <w:rPr>
          <w:sz w:val="20"/>
          <w:szCs w:val="20"/>
          <w:color w:val="auto"/>
        </w:rPr>
      </w:pPr>
    </w:p>
    <w:p>
      <w:pPr>
        <w:jc w:val="both"/>
        <w:ind w:left="543" w:firstLine="749"/>
        <w:spacing w:after="0" w:line="233" w:lineRule="auto"/>
        <w:rPr>
          <w:sz w:val="20"/>
          <w:szCs w:val="20"/>
          <w:color w:val="auto"/>
        </w:rPr>
      </w:pPr>
      <w:r>
        <w:rPr>
          <w:rFonts w:ascii="Times New Roman" w:cs="Times New Roman" w:eastAsia="Times New Roman" w:hAnsi="Times New Roman"/>
          <w:sz w:val="22"/>
          <w:szCs w:val="22"/>
          <w:color w:val="auto"/>
        </w:rPr>
        <w:t>Also, consistent with the provisions of state and federal discrimination laws (the “Discrimination Laws”), nothing in the general waiver and release set forth in Section 7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 However, the release in Section 7 does prohibit you from seeking or receiving monetary damages or other individual-specific relief in connection with any such charge or complaint of age or other work-related discrimination. Further, nothing in this Agreement shall be deemed to limit Synlogic’s right to seek immediate dismissal of such charge or complaint on the basis that your signing of this Agreement constitutes a full release of any individual rights under the Discrimination Laws, or Synlogic’s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spacing w:after="0" w:line="77" w:lineRule="exact"/>
        <w:rPr>
          <w:sz w:val="20"/>
          <w:szCs w:val="20"/>
          <w:color w:val="auto"/>
        </w:rPr>
      </w:pPr>
    </w:p>
    <w:p>
      <w:pPr>
        <w:ind w:left="503" w:right="200" w:hanging="503"/>
        <w:spacing w:after="0" w:line="251" w:lineRule="auto"/>
        <w:tabs>
          <w:tab w:leader="none" w:pos="503"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Consequences of Breach</w:t>
      </w:r>
      <w:r>
        <w:rPr>
          <w:rFonts w:ascii="Times New Roman" w:cs="Times New Roman" w:eastAsia="Times New Roman" w:hAnsi="Times New Roman"/>
          <w:sz w:val="21"/>
          <w:szCs w:val="21"/>
          <w:color w:val="auto"/>
        </w:rPr>
        <w:t>. In addition to any other remedies set forth in this Agreement, a breach by you of any of your obligations set forth in this Agreement shall constitute a material breach of this Agreement and, in addition to any other legal or equitable remedy available to Synlogic, shall entitle Synlogic to cease any further payment of the Bonus Pay and Benefits, and to recover any Bonus Pay or Benefits or its support for other benefits already provided to you. Regardless of any such breach, your release set forth in Section 7 above shall remain in full force and effect.</w:t>
      </w:r>
    </w:p>
    <w:p>
      <w:pPr>
        <w:spacing w:after="0" w:line="60" w:lineRule="exact"/>
        <w:rPr>
          <w:rFonts w:ascii="Times New Roman" w:cs="Times New Roman" w:eastAsia="Times New Roman" w:hAnsi="Times New Roman"/>
          <w:sz w:val="21"/>
          <w:szCs w:val="21"/>
          <w:color w:val="auto"/>
        </w:rPr>
      </w:pPr>
    </w:p>
    <w:p>
      <w:pPr>
        <w:jc w:val="both"/>
        <w:ind w:left="503" w:hanging="503"/>
        <w:spacing w:after="0" w:line="235" w:lineRule="auto"/>
        <w:tabs>
          <w:tab w:leader="none" w:pos="50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Instruction</w:t>
      </w:r>
      <w:r>
        <w:rPr>
          <w:rFonts w:ascii="Times New Roman" w:cs="Times New Roman" w:eastAsia="Times New Roman" w:hAnsi="Times New Roman"/>
          <w:sz w:val="22"/>
          <w:szCs w:val="22"/>
          <w:color w:val="auto"/>
        </w:rPr>
        <w:t>. The Company agrees to instruct its Board members and its executives (at the Vice President level and above) to not make any oral or written statements (including on any social media or other similar platform) that are professionally or personally disparaging about you, your performance or reputation, or adverse to, your interests, and that such individuals will be instructed not to engage in any conduct which could reasonably be expected to harm professionally or personally your reputation. You understand and agree that the Company’s sole obligation hereunder is to provide such instructions, and it is not responsible nor shall it be liable in the event any instructed individual violates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464185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5" w:right="339" w:bottom="1440" w:gutter="0" w:footer="0" w:header="0"/>
        </w:sectPr>
      </w:pPr>
    </w:p>
    <w:bookmarkStart w:id="182" w:name="page183"/>
    <w:bookmarkEnd w:id="182"/>
    <w:p>
      <w:pPr>
        <w:ind w:left="4680"/>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57045" cy="6172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4">
                      <a:extLst>
                        <a:ext uri="{28A0092B-C50C-407E-A947-70E740481C1C}"/>
                      </a:extLst>
                    </a:blip>
                    <a:srcRect/>
                    <a:stretch>
                      <a:fillRect/>
                    </a:stretch>
                  </pic:blipFill>
                  <pic:spPr bwMode="auto">
                    <a:xfrm>
                      <a:off x="0" y="0"/>
                      <a:ext cx="17570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20"/>
        <w:spacing w:after="0" w:line="258" w:lineRule="auto"/>
        <w:rPr>
          <w:sz w:val="20"/>
          <w:szCs w:val="20"/>
          <w:color w:val="auto"/>
        </w:rPr>
      </w:pPr>
      <w:r>
        <w:rPr>
          <w:rFonts w:ascii="Times New Roman" w:cs="Times New Roman" w:eastAsia="Times New Roman" w:hAnsi="Times New Roman"/>
          <w:sz w:val="22"/>
          <w:szCs w:val="22"/>
          <w:color w:val="auto"/>
        </w:rPr>
        <w:t>such instruction. You further understand that nothing herein shall prevent the Company from making statements that it deems necessary in the interests of the business.</w:t>
      </w:r>
    </w:p>
    <w:p>
      <w:pPr>
        <w:spacing w:after="0" w:line="293" w:lineRule="exact"/>
        <w:rPr>
          <w:sz w:val="20"/>
          <w:szCs w:val="20"/>
          <w:color w:val="auto"/>
        </w:rPr>
      </w:pPr>
    </w:p>
    <w:p>
      <w:pPr>
        <w:ind w:left="1020" w:hanging="503"/>
        <w:spacing w:after="0"/>
        <w:tabs>
          <w:tab w:leader="none" w:pos="10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Agreement/Choice of Law/Enforceability/Jury Waiver/Successors and Assigns</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jc w:val="both"/>
        <w:ind w:left="1540" w:hanging="514"/>
        <w:spacing w:after="0" w:line="244" w:lineRule="auto"/>
        <w:tabs>
          <w:tab w:leader="none" w:pos="154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in this Agreement, this Agreement supersedes any and all other prior oral and/or written agreements and sets forth the entire agreement between you and Synlogic. No variations or modifications hereof shall be deemed valid unless reduced to writing and signed by the parties hereto.</w:t>
      </w:r>
    </w:p>
    <w:p>
      <w:pPr>
        <w:spacing w:after="0" w:line="65" w:lineRule="exact"/>
        <w:rPr>
          <w:rFonts w:ascii="Times New Roman" w:cs="Times New Roman" w:eastAsia="Times New Roman" w:hAnsi="Times New Roman"/>
          <w:sz w:val="22"/>
          <w:szCs w:val="22"/>
          <w:color w:val="auto"/>
        </w:rPr>
      </w:pPr>
    </w:p>
    <w:p>
      <w:pPr>
        <w:ind w:left="1540" w:hanging="514"/>
        <w:spacing w:after="0" w:line="258" w:lineRule="auto"/>
        <w:tabs>
          <w:tab w:leader="none" w:pos="154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the law of the state where you reside on the date you sign this Agreement, without giving effect to conflict of law principles.</w:t>
      </w:r>
    </w:p>
    <w:p>
      <w:pPr>
        <w:spacing w:after="0" w:line="293" w:lineRule="exact"/>
        <w:rPr>
          <w:rFonts w:ascii="Times New Roman" w:cs="Times New Roman" w:eastAsia="Times New Roman" w:hAnsi="Times New Roman"/>
          <w:sz w:val="22"/>
          <w:szCs w:val="22"/>
          <w:color w:val="auto"/>
        </w:rPr>
      </w:pPr>
    </w:p>
    <w:p>
      <w:pPr>
        <w:jc w:val="both"/>
        <w:ind w:left="1540" w:hanging="514"/>
        <w:spacing w:after="0" w:line="244" w:lineRule="auto"/>
        <w:tabs>
          <w:tab w:leader="none" w:pos="154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parties further agree that any action, demand,claim or counterclaim relating to this Agreement shall be resolved by a judge alone, and both parties hereby waive and forever renounce the right to a trial before a civil jury.</w:t>
      </w:r>
    </w:p>
    <w:p>
      <w:pPr>
        <w:spacing w:after="0" w:line="65" w:lineRule="exact"/>
        <w:rPr>
          <w:rFonts w:ascii="Times New Roman" w:cs="Times New Roman" w:eastAsia="Times New Roman" w:hAnsi="Times New Roman"/>
          <w:sz w:val="22"/>
          <w:szCs w:val="22"/>
          <w:color w:val="auto"/>
        </w:rPr>
      </w:pPr>
    </w:p>
    <w:p>
      <w:pPr>
        <w:jc w:val="both"/>
        <w:ind w:left="1540" w:hanging="514"/>
        <w:spacing w:after="0" w:line="251" w:lineRule="auto"/>
        <w:tabs>
          <w:tab w:leader="none" w:pos="1540"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your release of Claims pursuant to Section 7 is determined to be unenforceable in whole or part, the Company will have the option, in its sole discretion, to either (a) declare the entire Agreement null and void and require you to refund the Bonus Pay and Benefits provided for in this Agreement; or (b) enforce the portions of the Agreement found not to be unenforceable. In the event that any other provision of this Agreement is determined to be unenforceable in whole or part, the remainder of the Agreement shall be enforced in full.</w:t>
      </w:r>
    </w:p>
    <w:p>
      <w:pPr>
        <w:spacing w:after="0" w:line="60" w:lineRule="exact"/>
        <w:rPr>
          <w:rFonts w:ascii="Times New Roman" w:cs="Times New Roman" w:eastAsia="Times New Roman" w:hAnsi="Times New Roman"/>
          <w:sz w:val="21"/>
          <w:szCs w:val="21"/>
          <w:color w:val="auto"/>
        </w:rPr>
      </w:pPr>
    </w:p>
    <w:p>
      <w:pPr>
        <w:ind w:left="1540" w:hanging="514"/>
        <w:spacing w:after="0"/>
        <w:tabs>
          <w:tab w:leader="none" w:pos="154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Synlogic and any of its successors and assigns.</w:t>
      </w:r>
    </w:p>
    <w:p>
      <w:pPr>
        <w:spacing w:after="0" w:line="22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It is Synlogic’s desire and intent to make certain that you fully understand the provisions and effects of this Agreement. By executing this Agreement, you are acknowledging (a) that you have been afforded sufficient time to understand the terms and effects of this Agreement and to consult with legal counsel, (b) that your agreements and obligations hereunder are made voluntarily, knowingly and without duress, and (c) that neither Synlogic nor its agents or representatives have made any representations inconsistent with the provisions of this Agreement.</w:t>
      </w:r>
    </w:p>
    <w:p>
      <w:pPr>
        <w:spacing w:after="0" w:line="20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If you agree to the terms of this Agreement, please sign and return the enclosed copy of this Agreement by no later than November 30,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Very truly yours,</w:t>
            </w: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86"/>
        </w:trPr>
        <w:tc>
          <w:tcPr>
            <w:tcW w:w="2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Synlogic, Inc.</w:t>
            </w:r>
          </w:p>
        </w:tc>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Accepted and Agreed To:</w:t>
            </w:r>
          </w:p>
        </w:tc>
      </w:tr>
      <w:tr>
        <w:trPr>
          <w:trHeight w:val="433"/>
        </w:trPr>
        <w:tc>
          <w:tcPr>
            <w:tcW w:w="2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Adam Thomas</w:t>
            </w:r>
          </w:p>
        </w:tc>
        <w:tc>
          <w:tcPr>
            <w:tcW w:w="130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Michael Jensen</w:t>
            </w:r>
          </w:p>
        </w:tc>
      </w:tr>
      <w:tr>
        <w:trPr>
          <w:trHeight w:val="20"/>
        </w:trPr>
        <w:tc>
          <w:tcPr>
            <w:tcW w:w="3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236"/>
        </w:trPr>
        <w:tc>
          <w:tcPr>
            <w:tcW w:w="260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Adam J. Thomas, CPO</w:t>
            </w:r>
          </w:p>
        </w:tc>
        <w:tc>
          <w:tcPr>
            <w:tcW w:w="8640" w:type="dxa"/>
            <w:vAlign w:val="bottom"/>
            <w:gridSpan w:val="3"/>
          </w:tcPr>
          <w:p>
            <w:pPr>
              <w:ind w:left="860"/>
              <w:spacing w:after="0" w:line="236" w:lineRule="exact"/>
              <w:rPr>
                <w:sz w:val="20"/>
                <w:szCs w:val="20"/>
                <w:color w:val="auto"/>
              </w:rPr>
            </w:pPr>
            <w:r>
              <w:rPr>
                <w:rFonts w:ascii="Times New Roman" w:cs="Times New Roman" w:eastAsia="Times New Roman" w:hAnsi="Times New Roman"/>
                <w:sz w:val="22"/>
                <w:szCs w:val="22"/>
                <w:color w:val="auto"/>
              </w:rPr>
              <w:t>Michael Jensen</w:t>
            </w:r>
          </w:p>
        </w:tc>
      </w:tr>
      <w:tr>
        <w:trPr>
          <w:trHeight w:val="282"/>
        </w:trPr>
        <w:tc>
          <w:tcPr>
            <w:tcW w:w="2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Dated: 11/13/2023</w:t>
            </w:r>
          </w:p>
        </w:tc>
        <w:tc>
          <w:tcPr>
            <w:tcW w:w="8640" w:type="dxa"/>
            <w:vAlign w:val="bottom"/>
            <w:gridSpan w:val="3"/>
          </w:tcPr>
          <w:p>
            <w:pPr>
              <w:ind w:left="860"/>
              <w:spacing w:after="0"/>
              <w:rPr>
                <w:sz w:val="20"/>
                <w:szCs w:val="20"/>
                <w:color w:val="auto"/>
              </w:rPr>
            </w:pPr>
            <w:r>
              <w:rPr>
                <w:rFonts w:ascii="Times New Roman" w:cs="Times New Roman" w:eastAsia="Times New Roman" w:hAnsi="Times New Roman"/>
                <w:sz w:val="22"/>
                <w:szCs w:val="22"/>
                <w:color w:val="auto"/>
              </w:rPr>
              <w:t>Dated: 11/13/2023</w:t>
            </w:r>
          </w:p>
        </w:tc>
      </w:tr>
      <w:tr>
        <w:trPr>
          <w:trHeight w:val="1210"/>
        </w:trPr>
        <w:tc>
          <w:tcPr>
            <w:tcW w:w="3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Synlogic Operating Company,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301 Binney Street, Suite 402</w:t>
      </w:r>
    </w:p>
    <w:p>
      <w:pPr>
        <w:jc w:val="center"/>
        <w:spacing w:after="0"/>
        <w:rPr>
          <w:sz w:val="20"/>
          <w:szCs w:val="20"/>
          <w:color w:val="auto"/>
        </w:rPr>
      </w:pPr>
      <w:r>
        <w:rPr>
          <w:rFonts w:ascii="Times New Roman" w:cs="Times New Roman" w:eastAsia="Times New Roman" w:hAnsi="Times New Roman"/>
          <w:sz w:val="20"/>
          <w:szCs w:val="20"/>
          <w:color w:val="auto"/>
        </w:rPr>
        <w:t>Cambridge, MA 02142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Provided by February 16, 2024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Tony Awad</w:t>
      </w:r>
    </w:p>
    <w:p>
      <w:pPr>
        <w:spacing w:after="0"/>
        <w:rPr>
          <w:sz w:val="20"/>
          <w:szCs w:val="20"/>
          <w:color w:val="auto"/>
        </w:rPr>
      </w:pPr>
      <w:r>
        <w:rPr>
          <w:rFonts w:ascii="Times New Roman" w:cs="Times New Roman" w:eastAsia="Times New Roman" w:hAnsi="Times New Roman"/>
          <w:sz w:val="20"/>
          <w:szCs w:val="20"/>
          <w:color w:val="auto"/>
        </w:rPr>
        <w:t>Dear Tony,</w:t>
      </w:r>
    </w:p>
    <w:p>
      <w:pPr>
        <w:spacing w:after="0" w:line="207" w:lineRule="exact"/>
        <w:rPr>
          <w:sz w:val="20"/>
          <w:szCs w:val="20"/>
          <w:color w:val="auto"/>
        </w:rPr>
      </w:pPr>
    </w:p>
    <w:p>
      <w:pPr>
        <w:jc w:val="both"/>
        <w:ind w:firstLine="749"/>
        <w:spacing w:after="0" w:line="224" w:lineRule="auto"/>
        <w:rPr>
          <w:sz w:val="20"/>
          <w:szCs w:val="20"/>
          <w:color w:val="auto"/>
        </w:rPr>
      </w:pPr>
      <w:r>
        <w:rPr>
          <w:rFonts w:ascii="Times New Roman" w:cs="Times New Roman" w:eastAsia="Times New Roman" w:hAnsi="Times New Roman"/>
          <w:sz w:val="20"/>
          <w:szCs w:val="20"/>
          <w:color w:val="auto"/>
        </w:rPr>
        <w:t>The purpose of this letter agreement (“Agreement”) is to confirm the terms of this separation of employment from Synlogic, Inc. (“Synlogic” or “the Company”).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The Severance Pay and Benefits described below are contingent on your agreement to and compliance with the provisions of this Agreement, as set forth below. In order to accept the Severance Pay and Benefits offered in this Agreement, you must sign and return the same on, or before April 1, 2024. This Agreement shall be effective on the eighth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after you sign the same (the “Effective Date”).</w:t>
      </w:r>
    </w:p>
    <w:p>
      <w:pPr>
        <w:spacing w:after="0" w:line="188" w:lineRule="exact"/>
        <w:rPr>
          <w:sz w:val="20"/>
          <w:szCs w:val="20"/>
          <w:color w:val="auto"/>
        </w:rPr>
      </w:pPr>
    </w:p>
    <w:p>
      <w:pPr>
        <w:jc w:val="both"/>
        <w:ind w:left="1020" w:hanging="503"/>
        <w:spacing w:after="0" w:line="254" w:lineRule="auto"/>
        <w:tabs>
          <w:tab w:leader="none" w:pos="1020" w:val="left"/>
        </w:tabs>
        <w:numPr>
          <w:ilvl w:val="0"/>
          <w:numId w:val="1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Separation of Employment</w:t>
      </w:r>
      <w:r>
        <w:rPr>
          <w:rFonts w:ascii="Times New Roman" w:cs="Times New Roman" w:eastAsia="Times New Roman" w:hAnsi="Times New Roman"/>
          <w:sz w:val="20"/>
          <w:szCs w:val="20"/>
          <w:color w:val="auto"/>
        </w:rPr>
        <w:t>. As previously communicated to you, your employment with the Company ends on 5/30/2024 (the “Separation Date”). You acknowledge that from and after the Separation Date, you have no authority to, and shall not, represent yourself as an employee or agent of the Company.</w:t>
      </w:r>
    </w:p>
    <w:p>
      <w:pPr>
        <w:spacing w:after="0" w:line="174" w:lineRule="exact"/>
        <w:rPr>
          <w:rFonts w:ascii="Times New Roman" w:cs="Times New Roman" w:eastAsia="Times New Roman" w:hAnsi="Times New Roman"/>
          <w:sz w:val="20"/>
          <w:szCs w:val="20"/>
          <w:u w:val="single" w:color="auto"/>
          <w:color w:val="auto"/>
        </w:rPr>
      </w:pPr>
    </w:p>
    <w:p>
      <w:pPr>
        <w:ind w:left="1020" w:hanging="503"/>
        <w:spacing w:after="0"/>
        <w:tabs>
          <w:tab w:leader="none" w:pos="1020" w:val="left"/>
        </w:tabs>
        <w:numPr>
          <w:ilvl w:val="0"/>
          <w:numId w:val="14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Severance Pay and Benefits</w:t>
      </w:r>
      <w:r>
        <w:rPr>
          <w:rFonts w:ascii="Times New Roman" w:cs="Times New Roman" w:eastAsia="Times New Roman" w:hAnsi="Times New Roman"/>
          <w:sz w:val="19"/>
          <w:szCs w:val="19"/>
          <w:color w:val="auto"/>
        </w:rPr>
        <w:t>. If you comply with the terms of this Agreement, the Company will provide you with the following:</w:t>
      </w:r>
    </w:p>
    <w:p>
      <w:pPr>
        <w:spacing w:after="0" w:line="119" w:lineRule="exact"/>
        <w:rPr>
          <w:rFonts w:ascii="Times New Roman" w:cs="Times New Roman" w:eastAsia="Times New Roman" w:hAnsi="Times New Roman"/>
          <w:sz w:val="19"/>
          <w:szCs w:val="19"/>
          <w:u w:val="single" w:color="auto"/>
          <w:color w:val="auto"/>
        </w:rPr>
      </w:pPr>
    </w:p>
    <w:p>
      <w:pPr>
        <w:jc w:val="both"/>
        <w:ind w:left="1540" w:hanging="514"/>
        <w:spacing w:after="0" w:line="246" w:lineRule="auto"/>
        <w:tabs>
          <w:tab w:leader="none" w:pos="154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Severance Pay in the form of a lump-sum payment equivalent to six (6) months of your base salary, or $218,856 less all tax withholdings and any other authorized deductions paid within thirty (30) days of you returning an executed Agreement. Such payment is being made consistent with the terms of the Employment Letter Agreement dated November 28, 2018 and the Amendment to the the Employment Letter Agreement, dated December 26, 2023 (collectively the “Awad Employment Agreement”).</w:t>
      </w:r>
    </w:p>
    <w:p>
      <w:pPr>
        <w:spacing w:after="0" w:line="76"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1"/>
          <w:numId w:val="1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Health and Other Benefits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u w:val="single" w:color="auto"/>
          <w:color w:val="auto"/>
        </w:rPr>
      </w:pPr>
    </w:p>
    <w:p>
      <w:pPr>
        <w:jc w:val="both"/>
        <w:ind w:left="2040" w:hanging="505"/>
        <w:spacing w:after="0" w:line="241" w:lineRule="auto"/>
        <w:tabs>
          <w:tab w:leader="none" w:pos="2040"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You will have the right to continue your participation in Synlogic’s medical and dental insurance programs through your Separation Date. You will then have the right to continue your participation in Synlogic’s medical and dental insurance programs subject to your timely applying and being eligible for such benefits pursuant to the provisions of the Consolidated Omnibus Budget Reconciliation Act of 1985 (COBRA), subject to the requirements of COBRA and the continuation of the Company medical and dental plans by its insurance carrier. If you sign this Agreement and it becomes effective as set forth below, and elect COBRA coverage, the Company will continue to pay the Company premium for such coverage for six (6) months after your Separation Date. Your medical and dental plan contributions will be deducted from your severance pay. Thereafter, your continuation of your medical and dental insurance pursuant to the provisions of COBRA will be solely at your own cost. The “qualifying event” under COBRA shall be deemed to have commenced on the Separation Date. In the event that the Company, in connection with the winding down of its business, terminates its group health plan coverage, the Company shall provide you with a taxable lump sum payment equal to the cost of the currently selected medical benefit option times the number of months remaining in the severance period following cessation of the Company’s group health plan coverage.</w:t>
      </w:r>
    </w:p>
    <w:p>
      <w:pPr>
        <w:spacing w:after="0" w:line="349" w:lineRule="exact"/>
        <w:rPr>
          <w:sz w:val="20"/>
          <w:szCs w:val="20"/>
          <w:color w:val="auto"/>
        </w:rPr>
      </w:pPr>
    </w:p>
    <w:p>
      <w:pPr>
        <w:ind w:right="80" w:firstLine="8"/>
        <w:spacing w:after="0" w:line="231" w:lineRule="auto"/>
        <w:tabs>
          <w:tab w:leader="none" w:pos="105" w:val="left"/>
        </w:tabs>
        <w:numPr>
          <w:ilvl w:val="0"/>
          <w:numId w:val="1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Except for the obligations set forth in Section 2 which shall be solely the obligations of Synlogic, Inc.,whenever the term Synlogic, Inc. is otherwise used in this Agreement (including, without limitation, Section 7), it shall be deemed to include Synlogic, Inc., and any and all of its divisions, affiliates and subsidiaries and all related entities (including investors), and its and their directors, officers, employees, agents, successors and assigns.</w:t>
      </w:r>
    </w:p>
    <w:p>
      <w:pPr>
        <w:spacing w:after="0" w:line="200" w:lineRule="exact"/>
        <w:rPr>
          <w:rFonts w:ascii="Times New Roman" w:cs="Times New Roman" w:eastAsia="Times New Roman" w:hAnsi="Times New Roman"/>
          <w:sz w:val="24"/>
          <w:szCs w:val="24"/>
          <w:color w:val="auto"/>
          <w:vertAlign w:val="superscript"/>
        </w:rPr>
      </w:pPr>
    </w:p>
    <w:p>
      <w:pPr>
        <w:spacing w:after="0" w:line="224" w:lineRule="exact"/>
        <w:rPr>
          <w:rFonts w:ascii="Times New Roman" w:cs="Times New Roman" w:eastAsia="Times New Roman" w:hAnsi="Times New Roman"/>
          <w:sz w:val="24"/>
          <w:szCs w:val="24"/>
          <w:color w:val="auto"/>
          <w:vertAlign w:val="superscript"/>
        </w:rPr>
      </w:pPr>
    </w:p>
    <w:p>
      <w:pPr>
        <w:ind w:left="2040" w:hanging="505"/>
        <w:spacing w:after="0" w:line="269" w:lineRule="auto"/>
        <w:tabs>
          <w:tab w:leader="none" w:pos="2040" w:val="left"/>
        </w:tabs>
        <w:numPr>
          <w:ilvl w:val="1"/>
          <w:numId w:val="1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2024 Bonus</w:t>
      </w:r>
      <w:r>
        <w:rPr>
          <w:rFonts w:ascii="Times New Roman" w:cs="Times New Roman" w:eastAsia="Times New Roman" w:hAnsi="Times New Roman"/>
          <w:sz w:val="20"/>
          <w:szCs w:val="20"/>
          <w:color w:val="auto"/>
        </w:rPr>
        <w:t>: You will be eligible for consideration of 100% of your target 2024 bonus, pro-rated by the number of days employed in 2024, in the amount of $87,302. The determination of whether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333" w:lineRule="exact"/>
        <w:rPr>
          <w:sz w:val="20"/>
          <w:szCs w:val="20"/>
          <w:color w:val="auto"/>
        </w:rPr>
      </w:pPr>
    </w:p>
    <w:p>
      <w:pPr>
        <w:jc w:val="both"/>
        <w:ind w:left="2040"/>
        <w:spacing w:after="0" w:line="250" w:lineRule="auto"/>
        <w:rPr>
          <w:sz w:val="20"/>
          <w:szCs w:val="20"/>
          <w:color w:val="auto"/>
        </w:rPr>
      </w:pPr>
      <w:r>
        <w:rPr>
          <w:rFonts w:ascii="Times New Roman" w:cs="Times New Roman" w:eastAsia="Times New Roman" w:hAnsi="Times New Roman"/>
          <w:sz w:val="20"/>
          <w:szCs w:val="20"/>
          <w:color w:val="auto"/>
        </w:rPr>
        <w:t>award a bonus and the amount of such bonus shall be in the sole discretion of the Company and is subject to the approval of the Board of Directors. If such bonus is awarded,it is expected to be paid by no later than within thirty</w:t>
      </w:r>
    </w:p>
    <w:p>
      <w:pPr>
        <w:spacing w:after="0" w:line="2" w:lineRule="exact"/>
        <w:rPr>
          <w:sz w:val="20"/>
          <w:szCs w:val="20"/>
          <w:color w:val="auto"/>
        </w:rPr>
      </w:pPr>
    </w:p>
    <w:p>
      <w:pPr>
        <w:ind w:left="2040" w:firstLine="4"/>
        <w:spacing w:after="0" w:line="246" w:lineRule="auto"/>
        <w:tabs>
          <w:tab w:leader="none" w:pos="2441" w:val="left"/>
        </w:tabs>
        <w:numPr>
          <w:ilvl w:val="3"/>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you returning an executed Agreement. You acknowledge and agree that you have no contractual or other entitlement to such a bonus.</w:t>
      </w:r>
    </w:p>
    <w:p>
      <w:pPr>
        <w:spacing w:after="0" w:line="181"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acknowledge and agree that the Severance Pay and Benefits set forth in the sub-sections above are consistent with the provisions of the Brennan Employment Agreement, and that your signing of this Agreement is a condition precedent to the receipt of such Severance Pay and Benefits.</w:t>
      </w:r>
    </w:p>
    <w:p>
      <w:pPr>
        <w:spacing w:after="0" w:line="174" w:lineRule="exact"/>
        <w:rPr>
          <w:rFonts w:ascii="Times New Roman" w:cs="Times New Roman" w:eastAsia="Times New Roman" w:hAnsi="Times New Roman"/>
          <w:sz w:val="20"/>
          <w:szCs w:val="20"/>
          <w:color w:val="auto"/>
        </w:rPr>
      </w:pPr>
    </w:p>
    <w:p>
      <w:pPr>
        <w:jc w:val="both"/>
        <w:ind w:left="1020" w:hanging="503"/>
        <w:spacing w:after="0" w:line="246" w:lineRule="auto"/>
        <w:tabs>
          <w:tab w:leader="none" w:pos="1020" w:val="left"/>
        </w:tabs>
        <w:numPr>
          <w:ilvl w:val="0"/>
          <w:numId w:val="1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Equity</w:t>
      </w:r>
      <w:r>
        <w:rPr>
          <w:rFonts w:ascii="Times New Roman" w:cs="Times New Roman" w:eastAsia="Times New Roman" w:hAnsi="Times New Roman"/>
          <w:sz w:val="20"/>
          <w:szCs w:val="20"/>
          <w:color w:val="auto"/>
        </w:rPr>
        <w:t>. You will be entitled to exercise only those stock options or RSAs granted to you and which are vested as of the Separation Date under the applicable Synlogic, Inc. equity plans and any amendments to those plan (the “Equity Plans”), and only in accordance with the terms and conditions of the Equity Plans. You acknowledge and agree that you do not and will not in the future have rights to vest in any other equity plans (of whatever name or kind) that you participated in or were eligible to participate in during your employment with the Company.</w:t>
      </w:r>
    </w:p>
    <w:p>
      <w:pPr>
        <w:spacing w:after="0" w:line="184" w:lineRule="exact"/>
        <w:rPr>
          <w:rFonts w:ascii="Times New Roman" w:cs="Times New Roman" w:eastAsia="Times New Roman" w:hAnsi="Times New Roman"/>
          <w:sz w:val="20"/>
          <w:szCs w:val="20"/>
          <w:u w:val="single" w:color="auto"/>
          <w:color w:val="auto"/>
        </w:rPr>
      </w:pPr>
    </w:p>
    <w:p>
      <w:pPr>
        <w:jc w:val="both"/>
        <w:ind w:left="1020" w:hanging="503"/>
        <w:spacing w:after="0" w:line="260" w:lineRule="auto"/>
        <w:tabs>
          <w:tab w:leader="none" w:pos="1020" w:val="left"/>
        </w:tabs>
        <w:numPr>
          <w:ilvl w:val="0"/>
          <w:numId w:val="14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Acknowledgements</w:t>
      </w:r>
      <w:r>
        <w:rPr>
          <w:rFonts w:ascii="Times New Roman" w:cs="Times New Roman" w:eastAsia="Times New Roman" w:hAnsi="Times New Roman"/>
          <w:sz w:val="19"/>
          <w:szCs w:val="19"/>
          <w:color w:val="auto"/>
        </w:rPr>
        <w:t>. You acknowledge and agree that the Severance Pay and Benefits to be provided to you are not intended to, and shall not constitute, a severance plan and shall confer no benefit on anyone other than the Company and you. You further acknowledge that except for any unpaid regular wages (including accrued and unused vacation) earned through the Separation Date, which shall be paid on or around the Separation Date, you have been paid and provided all wages, vacation pay, holiday pay, bonus, business expenses, and any other form of compensation or benefit that may be due to you now or which would have become due in the future in connection with your employment or separation of employment with the Company.</w:t>
      </w:r>
    </w:p>
    <w:p>
      <w:pPr>
        <w:spacing w:after="0" w:line="172" w:lineRule="exact"/>
        <w:rPr>
          <w:rFonts w:ascii="Times New Roman" w:cs="Times New Roman" w:eastAsia="Times New Roman" w:hAnsi="Times New Roman"/>
          <w:sz w:val="19"/>
          <w:szCs w:val="19"/>
          <w:u w:val="single" w:color="auto"/>
          <w:color w:val="auto"/>
        </w:rPr>
      </w:pPr>
    </w:p>
    <w:p>
      <w:pPr>
        <w:ind w:left="1020" w:hanging="503"/>
        <w:spacing w:after="0"/>
        <w:tabs>
          <w:tab w:leader="none" w:pos="1020" w:val="left"/>
        </w:tabs>
        <w:numPr>
          <w:ilvl w:val="0"/>
          <w:numId w:val="1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Return of Property, Confidentiality, Non-Disparagement</w:t>
      </w:r>
      <w:r>
        <w:rPr>
          <w:rFonts w:ascii="Times New Roman" w:cs="Times New Roman" w:eastAsia="Times New Roman" w:hAnsi="Times New Roman"/>
          <w:sz w:val="20"/>
          <w:szCs w:val="20"/>
          <w:color w:val="auto"/>
        </w:rPr>
        <w:t>. You expressly acknowledge and agree to the following:</w:t>
      </w:r>
    </w:p>
    <w:p>
      <w:pPr>
        <w:spacing w:after="0" w:line="107" w:lineRule="exact"/>
        <w:rPr>
          <w:rFonts w:ascii="Times New Roman" w:cs="Times New Roman" w:eastAsia="Times New Roman" w:hAnsi="Times New Roman"/>
          <w:sz w:val="20"/>
          <w:szCs w:val="20"/>
          <w:u w:val="single" w:color="auto"/>
          <w:color w:val="auto"/>
        </w:rPr>
      </w:pPr>
    </w:p>
    <w:p>
      <w:pPr>
        <w:jc w:val="both"/>
        <w:ind w:left="1540" w:hanging="514"/>
        <w:spacing w:after="0" w:line="244" w:lineRule="auto"/>
        <w:tabs>
          <w:tab w:leader="none" w:pos="1540" w:val="left"/>
        </w:tabs>
        <w:numPr>
          <w:ilvl w:val="2"/>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you will abide by any and all obligations contained in agreements you have executed(copies of which can be provided to you), the terms of which are hereby incorporated by reference, which shall survive the signing of this Agreement, and which you hereby affirm. You further agree that you otherwise will keep all confidential information and trade secrets of the Company confidential, and that you will abide by any and all common law and/or statutory obligations relating to protection and non-disclosure of the Company’s trade secrets and/or confidential and proprietary documents and information. Consistent with applicable law, the Company is providing you with the notice of immunity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,which is a part of this Agreement and each other agreement referenced in this subsection.</w:t>
      </w:r>
    </w:p>
    <w:p>
      <w:pPr>
        <w:spacing w:after="0" w:line="77" w:lineRule="exact"/>
        <w:rPr>
          <w:rFonts w:ascii="Times New Roman" w:cs="Times New Roman" w:eastAsia="Times New Roman" w:hAnsi="Times New Roman"/>
          <w:sz w:val="20"/>
          <w:szCs w:val="20"/>
          <w:color w:val="auto"/>
        </w:rPr>
      </w:pPr>
    </w:p>
    <w:p>
      <w:pPr>
        <w:jc w:val="both"/>
        <w:ind w:left="1540" w:hanging="514"/>
        <w:spacing w:after="0" w:line="263" w:lineRule="auto"/>
        <w:tabs>
          <w:tab w:leader="none" w:pos="1540" w:val="left"/>
        </w:tabs>
        <w:numPr>
          <w:ilvl w:val="2"/>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obligations, that by your Separation Date, you will promptly return to the Company all the Company documents (and any copies) and property (including all electronically stored information) regardless of where such documents, information or property is maintained. You acknowledge and agree that you shall not maintain any copies or duplicates of such documents or information. You further acknowledge that if you were to use or disclose any of the information reflected in such items, that this would cause immediate, substantial and irreparable harm to the Company.</w:t>
      </w:r>
    </w:p>
    <w:p>
      <w:pPr>
        <w:spacing w:after="0" w:line="58" w:lineRule="exact"/>
        <w:rPr>
          <w:rFonts w:ascii="Times New Roman" w:cs="Times New Roman" w:eastAsia="Times New Roman" w:hAnsi="Times New Roman"/>
          <w:sz w:val="19"/>
          <w:szCs w:val="19"/>
          <w:color w:val="auto"/>
        </w:rPr>
      </w:pPr>
    </w:p>
    <w:p>
      <w:pPr>
        <w:jc w:val="both"/>
        <w:ind w:left="1540" w:hanging="514"/>
        <w:spacing w:after="0" w:line="246" w:lineRule="auto"/>
        <w:tabs>
          <w:tab w:leader="none" w:pos="1540" w:val="left"/>
        </w:tabs>
        <w:numPr>
          <w:ilvl w:val="2"/>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all information relating in any way to the negotiation and terms of this Agreement (except for your obligations under Section 5(i) above), including the amount of financial consideration provided for in this Agreement, shall be held confidential by you and shall not be publicized or disclosed to any person (other than an immediate family member, legal counsel, or financial advisor, provided that any such individual to whom disclosure is made agrees to be bound by these confidentiality obligations), business entity, or as otherwise mandated by state or federal law.</w:t>
      </w:r>
    </w:p>
    <w:p>
      <w:pPr>
        <w:spacing w:after="0" w:line="76" w:lineRule="exact"/>
        <w:rPr>
          <w:rFonts w:ascii="Times New Roman" w:cs="Times New Roman" w:eastAsia="Times New Roman" w:hAnsi="Times New Roman"/>
          <w:sz w:val="20"/>
          <w:szCs w:val="20"/>
          <w:color w:val="auto"/>
        </w:rPr>
      </w:pPr>
    </w:p>
    <w:p>
      <w:pPr>
        <w:jc w:val="both"/>
        <w:ind w:left="1540" w:hanging="514"/>
        <w:spacing w:after="0" w:line="245" w:lineRule="auto"/>
        <w:tabs>
          <w:tab w:leader="none" w:pos="1540" w:val="left"/>
        </w:tabs>
        <w:numPr>
          <w:ilvl w:val="2"/>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you will not make any oral or written statements (including on any social media or other similar platform) that are professionally or personally disparaging about, or adverse to, the interests of the Company(including its officers, directors, employees and consultants) including, but not limited to, any statements that disparage any person,product, service, finances,financial condition, capability or any other aspect of the business of the Company, and that you will not engage in any conduct which could reasonably be expected to harm professionally or personally the reputation of the Company (including its officers, directors, employees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333" w:lineRule="exact"/>
        <w:rPr>
          <w:sz w:val="20"/>
          <w:szCs w:val="20"/>
          <w:color w:val="auto"/>
        </w:rPr>
      </w:pPr>
    </w:p>
    <w:p>
      <w:pPr>
        <w:jc w:val="both"/>
        <w:ind w:left="1023" w:hanging="514"/>
        <w:spacing w:after="0" w:line="254" w:lineRule="auto"/>
        <w:tabs>
          <w:tab w:leader="none" w:pos="1023"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Severance Pay and Benefits being offered are based on your representations that you have not engaged in any fraudulent or unlawful conduct, and that you have fully disclosed to the Company all material information relating to your job duties for the Company.</w:t>
      </w:r>
    </w:p>
    <w:p>
      <w:pPr>
        <w:spacing w:after="0" w:line="66" w:lineRule="exact"/>
        <w:rPr>
          <w:rFonts w:ascii="Times New Roman" w:cs="Times New Roman" w:eastAsia="Times New Roman" w:hAnsi="Times New Roman"/>
          <w:sz w:val="20"/>
          <w:szCs w:val="20"/>
          <w:color w:val="auto"/>
        </w:rPr>
      </w:pPr>
    </w:p>
    <w:p>
      <w:pPr>
        <w:jc w:val="both"/>
        <w:ind w:left="1023" w:hanging="514"/>
        <w:spacing w:after="0" w:line="243" w:lineRule="auto"/>
        <w:tabs>
          <w:tab w:leader="none" w:pos="1023"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that in the event of your breach of any of your agreements set forth in this Section 5 the Company would suffer substantial irreparable harm and that the Company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or temporary, preliminary or permanent injunctive relief, or any other equitable remedy which then maybe available. The seeking of such injunction or order shall not affect the Company’s right to seek and obtain damages or other equitable relief on account of any such actual or threatened breach. You further agree that the Company shall be entitled to its costs and fees, including attorneys’ fees, incurred by it should it prevail in enforcing and provision of this Agreement.</w:t>
      </w:r>
    </w:p>
    <w:p>
      <w:pPr>
        <w:spacing w:after="0" w:line="185" w:lineRule="exact"/>
        <w:rPr>
          <w:rFonts w:ascii="Times New Roman" w:cs="Times New Roman" w:eastAsia="Times New Roman" w:hAnsi="Times New Roman"/>
          <w:sz w:val="20"/>
          <w:szCs w:val="20"/>
          <w:color w:val="auto"/>
        </w:rPr>
      </w:pPr>
    </w:p>
    <w:p>
      <w:pPr>
        <w:jc w:val="both"/>
        <w:ind w:left="503" w:hanging="503"/>
        <w:spacing w:after="0" w:line="241" w:lineRule="auto"/>
        <w:tabs>
          <w:tab w:leader="none" w:pos="503" w:val="left"/>
        </w:tabs>
        <w:numPr>
          <w:ilvl w:val="0"/>
          <w:numId w:val="1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Cooperation/Transition of Duties</w:t>
      </w:r>
      <w:r>
        <w:rPr>
          <w:rFonts w:ascii="Times New Roman" w:cs="Times New Roman" w:eastAsia="Times New Roman" w:hAnsi="Times New Roman"/>
          <w:sz w:val="20"/>
          <w:szCs w:val="20"/>
          <w:color w:val="auto"/>
        </w:rPr>
        <w:t>. You agree that during the Severance Period you will make yourself reasonably available to the Company, upon reasonable notice, either by email, telephone or, if the Company believes necessary, in person to assist the Company in any matter relating to the services performed by you during your employment with the Company including, but not limited, transitioning your duties to others at the Company. You further agree that during this period of time and thereafter you will cooperate fully with the Company in the defense or prosecution of any claims or actions now in existence or which may be brought or threatened in the future against or on behalf of the Company, including any claim or action against its directors, officers and employees. Your cooperation in connection with such claims or actions shall include, your being available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within reason given the constraints of future employment or job search activities, to meet with the Company to prepare for any proceeding, to provide truthful affidavits and/or testimony, to assist with any audit, inspection, proceeding or other inquiry, and to act as a witness in connection with any litigation or other legal proceeding affecting the Company. You further agree that should an individual representing a party adverse to the business or legal interests of the Company (including, without limitation, anyone threatening any form of legal action against the Company) contact you (directly or indirectly), you will promptly (within 48 hours) inform the Company of that fact. Nothing herein shall be construed to prohibit or prevent you from cooperating with any government investigation (including maintaining the confidentiality of such investigation if required by the government), nor shall any such cooperation be deemed to be a violation of your obligations of non-disparagement set forth in Section 5(iv) above.</w:t>
      </w:r>
    </w:p>
    <w:p>
      <w:pPr>
        <w:spacing w:after="0" w:line="193" w:lineRule="exact"/>
        <w:rPr>
          <w:rFonts w:ascii="Times New Roman" w:cs="Times New Roman" w:eastAsia="Times New Roman" w:hAnsi="Times New Roman"/>
          <w:sz w:val="20"/>
          <w:szCs w:val="20"/>
          <w:u w:val="single" w:color="auto"/>
          <w:color w:val="auto"/>
        </w:rPr>
      </w:pPr>
    </w:p>
    <w:p>
      <w:pPr>
        <w:jc w:val="both"/>
        <w:ind w:left="503" w:hanging="503"/>
        <w:spacing w:after="0" w:line="254" w:lineRule="auto"/>
        <w:tabs>
          <w:tab w:leader="none" w:pos="503" w:val="left"/>
        </w:tabs>
        <w:numPr>
          <w:ilvl w:val="0"/>
          <w:numId w:val="1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You hereby acknowledge and agree that by signing this Agreement, you are waiving your right to assert any Claim (as defined below) against Synlogic arising from acts or omissions that occurred on or before the Separation Date or the Effective Date, whichever is later. Please note definition of Synlogic contained in footnote 1 of this Agreement.</w:t>
      </w:r>
    </w:p>
    <w:p>
      <w:pPr>
        <w:spacing w:after="0" w:line="66" w:lineRule="exact"/>
        <w:rPr>
          <w:sz w:val="20"/>
          <w:szCs w:val="20"/>
          <w:color w:val="auto"/>
        </w:rPr>
      </w:pPr>
    </w:p>
    <w:p>
      <w:pPr>
        <w:jc w:val="both"/>
        <w:ind w:left="543" w:firstLine="749"/>
        <w:spacing w:after="0" w:line="242" w:lineRule="auto"/>
        <w:rPr>
          <w:sz w:val="20"/>
          <w:szCs w:val="20"/>
          <w:color w:val="auto"/>
        </w:rPr>
      </w:pPr>
      <w:r>
        <w:rPr>
          <w:rFonts w:ascii="Times New Roman" w:cs="Times New Roman" w:eastAsia="Times New Roman" w:hAnsi="Times New Roman"/>
          <w:sz w:val="20"/>
          <w:szCs w:val="20"/>
          <w:color w:val="auto"/>
        </w:rPr>
        <w:t>Your waiver and release is intended to bar any form of legal claim,lawsuit, charge, complaint or any other form of action (jointly referred to as “Claims”) against the Company seeking money or any other form of relief, including but not limited to equitable relief (whether declaratory, injunctive or otherwise),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and/or other source of law of any state, country and/or locality (collectively and individually referred to as “Law”), including but not limited to the United States, the Commonwealth of Massachusetts, and/or any other state or locality where you worked for the Company.</w:t>
      </w:r>
    </w:p>
    <w:p>
      <w:pPr>
        <w:spacing w:after="0" w:line="82" w:lineRule="exact"/>
        <w:rPr>
          <w:sz w:val="20"/>
          <w:szCs w:val="20"/>
          <w:color w:val="auto"/>
        </w:rPr>
      </w:pPr>
    </w:p>
    <w:p>
      <w:pPr>
        <w:jc w:val="both"/>
        <w:ind w:left="543" w:firstLine="749"/>
        <w:spacing w:after="0" w:line="269" w:lineRule="auto"/>
        <w:rPr>
          <w:sz w:val="20"/>
          <w:szCs w:val="20"/>
          <w:color w:val="auto"/>
        </w:rPr>
      </w:pPr>
      <w:r>
        <w:rPr>
          <w:rFonts w:ascii="Times New Roman" w:cs="Times New Roman" w:eastAsia="Times New Roman" w:hAnsi="Times New Roman"/>
          <w:sz w:val="20"/>
          <w:szCs w:val="20"/>
          <w:color w:val="auto"/>
        </w:rPr>
        <w:t>Without limiting the foregoing general waiver and release, except for Claims resulting from the failure of the Company to perform its obligations under this Agreement, you specifically waive and release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445770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5"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333" w:lineRule="exact"/>
        <w:rPr>
          <w:sz w:val="20"/>
          <w:szCs w:val="20"/>
          <w:color w:val="auto"/>
        </w:rPr>
      </w:pPr>
    </w:p>
    <w:p>
      <w:pPr>
        <w:jc w:val="both"/>
        <w:ind w:left="543"/>
        <w:spacing w:after="0" w:line="269" w:lineRule="auto"/>
        <w:rPr>
          <w:sz w:val="20"/>
          <w:szCs w:val="20"/>
          <w:color w:val="auto"/>
        </w:rPr>
      </w:pPr>
      <w:r>
        <w:rPr>
          <w:rFonts w:ascii="Times New Roman" w:cs="Times New Roman" w:eastAsia="Times New Roman" w:hAnsi="Times New Roman"/>
          <w:sz w:val="20"/>
          <w:szCs w:val="20"/>
          <w:color w:val="auto"/>
        </w:rPr>
        <w:t>Company from any Claims arising from or related to your employment relationship with the Company or the termination thereof, including without limitation:</w:t>
      </w:r>
    </w:p>
    <w:p>
      <w:pPr>
        <w:spacing w:after="0" w:line="51" w:lineRule="exact"/>
        <w:rPr>
          <w:sz w:val="20"/>
          <w:szCs w:val="20"/>
          <w:color w:val="auto"/>
        </w:rPr>
      </w:pPr>
    </w:p>
    <w:p>
      <w:pPr>
        <w:jc w:val="both"/>
        <w:ind w:left="1023" w:hanging="514"/>
        <w:spacing w:after="0" w:line="243" w:lineRule="auto"/>
        <w:tabs>
          <w:tab w:leader="none" w:pos="102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under any Law concerning discrimination, harassment, retaliation, or other fair employment practices, including, but not limited to the Massachusetts Anti-Discrimination and Anti-Harassment Law (M.G.L. c.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Title VII of the Civil Rights Act of 1964 (42 U.S.C. § 2000e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42 U.S.C. § 1981, the Civil Rights Act of 1991, Section1981 of the U.S.C. Title 42, the Americans with Disabilities Act (42 U.S.C. § 12101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the Occupational Safety and Health Act, 29 U.S.C. §651 et seq. each as they may have been amended through the Separation Date or the Effective Date, whichever is later.</w:t>
      </w:r>
    </w:p>
    <w:p>
      <w:pPr>
        <w:spacing w:after="0" w:line="81" w:lineRule="exact"/>
        <w:rPr>
          <w:rFonts w:ascii="Times New Roman" w:cs="Times New Roman" w:eastAsia="Times New Roman" w:hAnsi="Times New Roman"/>
          <w:sz w:val="20"/>
          <w:szCs w:val="20"/>
          <w:color w:val="auto"/>
        </w:rPr>
      </w:pPr>
    </w:p>
    <w:p>
      <w:pPr>
        <w:jc w:val="both"/>
        <w:ind w:left="1023" w:hanging="514"/>
        <w:spacing w:after="0" w:line="242" w:lineRule="auto"/>
        <w:tabs>
          <w:tab w:leader="none" w:pos="102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under any Law relating to wages, hours, whistle blowing, leaves of absences or any other terms and conditions of employment, including but not limited to the Family and Medical Leave Act of 1993 (29 U.S.C. § 2601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Emergency Family and Medical Leave Expansion Act (Pub. L. No. 116-127, § 3101, 134 Stat. 178, 189); the Emergency Paid Sick Leave Act (Pub. L. No. 116-127, § 5101, 134 Stat. 178, 195), the Employee Retirement Income Security Act (ERISA), the Fair Labor Standards Act, the Worker Adjustment and Retraining Notification (WARN) Act, the National Labor Relations Act (NLRA), the American Rescue Plan Act of 2021, the Massachusetts Payment of Wages Law (Massachusetts General Laws Chapter 149, §§ 148, 150), Massachusetts General Laws Chapter 149 in its entirety, Massachusetts General Laws Chapter 151 in its entirety (including but not limited to the minimum wage and overtime provisions), the Massachusetts Paid Family Medical Leave Act (M.G.L.c. 175M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each as they may have been amended through the Separation Date or the Effective Date, whichever is later. You specifically acknowledge that you are waiving any Claims for unpaid wages under these and other Laws.</w:t>
      </w:r>
    </w:p>
    <w:p>
      <w:pPr>
        <w:spacing w:after="0" w:line="81" w:lineRule="exact"/>
        <w:rPr>
          <w:rFonts w:ascii="Times New Roman" w:cs="Times New Roman" w:eastAsia="Times New Roman" w:hAnsi="Times New Roman"/>
          <w:sz w:val="20"/>
          <w:szCs w:val="20"/>
          <w:color w:val="auto"/>
        </w:rPr>
      </w:pPr>
    </w:p>
    <w:p>
      <w:pPr>
        <w:jc w:val="both"/>
        <w:ind w:left="1023" w:hanging="514"/>
        <w:spacing w:after="0" w:line="249" w:lineRule="auto"/>
        <w:tabs>
          <w:tab w:leader="none" w:pos="102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under any local, state or federal common law theory including, without limitation, any Claim for breach of contract, ownership of inventions or any other intellectual property, implied contract, misrepresentation (intentional or negligent), fraud, promissory estoppel,unjust enrichment, quantum meruit, defamation (libel or slander),or any other Claim sounding in contract or tort.</w:t>
      </w:r>
    </w:p>
    <w:p>
      <w:pPr>
        <w:spacing w:after="0" w:line="71" w:lineRule="exact"/>
        <w:rPr>
          <w:rFonts w:ascii="Times New Roman" w:cs="Times New Roman" w:eastAsia="Times New Roman" w:hAnsi="Times New Roman"/>
          <w:sz w:val="20"/>
          <w:szCs w:val="20"/>
          <w:color w:val="auto"/>
        </w:rPr>
      </w:pPr>
    </w:p>
    <w:p>
      <w:pPr>
        <w:ind w:left="1023" w:hanging="514"/>
        <w:spacing w:after="0"/>
        <w:tabs>
          <w:tab w:leader="none" w:pos="102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arising under the Company’s policies or benefit plans.</w:t>
      </w:r>
    </w:p>
    <w:p>
      <w:pPr>
        <w:spacing w:after="0" w:line="107" w:lineRule="exact"/>
        <w:rPr>
          <w:rFonts w:ascii="Times New Roman" w:cs="Times New Roman" w:eastAsia="Times New Roman" w:hAnsi="Times New Roman"/>
          <w:sz w:val="20"/>
          <w:szCs w:val="20"/>
          <w:color w:val="auto"/>
        </w:rPr>
      </w:pPr>
    </w:p>
    <w:p>
      <w:pPr>
        <w:ind w:left="1023" w:hanging="514"/>
        <w:spacing w:after="0"/>
        <w:tabs>
          <w:tab w:leader="none" w:pos="102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arising under any other Law or constitution.</w:t>
      </w:r>
    </w:p>
    <w:p>
      <w:pPr>
        <w:spacing w:after="0" w:line="229" w:lineRule="exact"/>
        <w:rPr>
          <w:sz w:val="20"/>
          <w:szCs w:val="20"/>
          <w:color w:val="auto"/>
        </w:rPr>
      </w:pPr>
    </w:p>
    <w:p>
      <w:pPr>
        <w:jc w:val="both"/>
        <w:ind w:left="543" w:firstLine="749"/>
        <w:spacing w:after="0" w:line="254" w:lineRule="auto"/>
        <w:rPr>
          <w:sz w:val="20"/>
          <w:szCs w:val="20"/>
          <w:color w:val="auto"/>
        </w:rPr>
      </w:pPr>
      <w:r>
        <w:rPr>
          <w:rFonts w:ascii="Times New Roman" w:cs="Times New Roman" w:eastAsia="Times New Roman" w:hAnsi="Times New Roman"/>
          <w:sz w:val="20"/>
          <w:szCs w:val="20"/>
          <w:color w:val="auto"/>
        </w:rPr>
        <w:t>Notwithstanding the foregoing, this Section shall not release Synlogic from any obligation expressly set forth in this Agreement. You acknowledge and agree that, but for providing this waiver and release, you would not be receiving the Severance Pay and Benefits provided for in this Agreement.</w:t>
      </w:r>
    </w:p>
    <w:p>
      <w:pPr>
        <w:spacing w:after="0" w:line="174" w:lineRule="exact"/>
        <w:rPr>
          <w:sz w:val="20"/>
          <w:szCs w:val="20"/>
          <w:color w:val="auto"/>
        </w:rPr>
      </w:pPr>
    </w:p>
    <w:p>
      <w:pPr>
        <w:ind w:left="503" w:right="60" w:hanging="503"/>
        <w:spacing w:after="0" w:line="245" w:lineRule="auto"/>
        <w:tabs>
          <w:tab w:leader="none" w:pos="503" w:val="left"/>
        </w:tabs>
        <w:numPr>
          <w:ilvl w:val="0"/>
          <w:numId w:val="1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OWBPA</w:t>
      </w:r>
      <w:r>
        <w:rPr>
          <w:rFonts w:ascii="Times New Roman" w:cs="Times New Roman" w:eastAsia="Times New Roman" w:hAnsi="Times New Roman"/>
          <w:sz w:val="20"/>
          <w:szCs w:val="20"/>
          <w:color w:val="auto"/>
        </w:rPr>
        <w:t>. Because you are at least forty (40) years of age, you have specific rights under the federal Age Discrimination in Employment Act (“ADEA”) and Older Workers Benefit Protection Act (“OWBPA”), which prohibit discrimination on the basis of age. The release in Section 7 is intended to release any Claim you may have against Synlogic alleging discrimination on the basis of age under the ADEA, OWBPA,and other Laws. Notwithstanding anything to the contrary in this Agreement, the release in Section 7 does not cover rights or Claims under the ADEA that arise after the date you sign this Agreement or the Effective Date, whichever is later.</w:t>
      </w:r>
    </w:p>
    <w:p>
      <w:pPr>
        <w:spacing w:after="0" w:line="76" w:lineRule="exact"/>
        <w:rPr>
          <w:sz w:val="20"/>
          <w:szCs w:val="20"/>
          <w:color w:val="auto"/>
        </w:rPr>
      </w:pPr>
    </w:p>
    <w:p>
      <w:pPr>
        <w:jc w:val="both"/>
        <w:ind w:left="543" w:firstLine="749"/>
        <w:spacing w:after="0" w:line="243" w:lineRule="auto"/>
        <w:rPr>
          <w:sz w:val="20"/>
          <w:szCs w:val="20"/>
          <w:color w:val="auto"/>
        </w:rPr>
      </w:pPr>
      <w:r>
        <w:rPr>
          <w:rFonts w:ascii="Times New Roman" w:cs="Times New Roman" w:eastAsia="Times New Roman" w:hAnsi="Times New Roman"/>
          <w:sz w:val="20"/>
          <w:szCs w:val="20"/>
          <w:color w:val="auto"/>
        </w:rPr>
        <w:t xml:space="preserve">Further, 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OWBPA,you are being provided with certain information, in the chart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Agreement, pertaining to the ages and job titles of employees in the same decisional unit who are affected and who are not affected by the reduction in force that is resulting in the termination of your employment. In addition, consistent with the provisions of the OWBPA, the Company is providing you with over forty-five (45) days from the date you are provided this Agreement to consider and accept the terms of this Agreement by signing below and returning it to Mary Beth Dooley, Head of Finance at marybeth@synlogictx.comor returning it to Synlogic, 301 Binney St, Cambridge, MA 02142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462915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5"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333" w:lineRule="exact"/>
        <w:rPr>
          <w:sz w:val="20"/>
          <w:szCs w:val="20"/>
          <w:color w:val="auto"/>
        </w:rPr>
      </w:pPr>
    </w:p>
    <w:p>
      <w:pPr>
        <w:jc w:val="both"/>
        <w:ind w:left="1060"/>
        <w:spacing w:after="0" w:line="246" w:lineRule="auto"/>
        <w:rPr>
          <w:sz w:val="20"/>
          <w:szCs w:val="20"/>
          <w:color w:val="auto"/>
        </w:rPr>
      </w:pPr>
      <w:r>
        <w:rPr>
          <w:rFonts w:ascii="Times New Roman" w:cs="Times New Roman" w:eastAsia="Times New Roman" w:hAnsi="Times New Roman"/>
          <w:sz w:val="20"/>
          <w:szCs w:val="20"/>
          <w:color w:val="auto"/>
        </w:rPr>
        <w:t>Mary Beth Dooley, Head of Finance, and notifying Mary Beth Dooley by email that it has been sent by hard copy. You further agree that any changes to this Agreement will not restart the running of this 45-day period. In addition, you may rescind your assent to this Agreement if, within seven(7) days after you sign this Agreement, you deliver a notice of rescission to Synlogic. To be effective, such rescission must be hand delivered or postmarked within the seven (7) day period and sent by certified mail, return receipt requested, to Mary Beth Dooley at Synlogic at the above referenced address.</w:t>
      </w:r>
    </w:p>
    <w:p>
      <w:pPr>
        <w:spacing w:after="0" w:line="77" w:lineRule="exact"/>
        <w:rPr>
          <w:sz w:val="20"/>
          <w:szCs w:val="20"/>
          <w:color w:val="auto"/>
        </w:rPr>
      </w:pPr>
    </w:p>
    <w:p>
      <w:pPr>
        <w:jc w:val="both"/>
        <w:ind w:left="1060" w:firstLine="749"/>
        <w:spacing w:after="0" w:line="242" w:lineRule="auto"/>
        <w:rPr>
          <w:sz w:val="20"/>
          <w:szCs w:val="20"/>
          <w:color w:val="auto"/>
        </w:rPr>
      </w:pPr>
      <w:r>
        <w:rPr>
          <w:rFonts w:ascii="Times New Roman" w:cs="Times New Roman" w:eastAsia="Times New Roman" w:hAnsi="Times New Roman"/>
          <w:sz w:val="20"/>
          <w:szCs w:val="20"/>
          <w:color w:val="auto"/>
        </w:rPr>
        <w:t>Also, consistent with the provisions of state and federal discrimination laws (the “Discrimination Laws”), nothing in the general waiver and release set forth in Section 7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 However, the release in Section 7 does prohibit you from seeking or receiving monetary damages or other individual-specific relief in connection with any such charge or complaint of age or other work-related discrimination. Further, nothing in this Agreement shall be deemed to limit Synlogic’s right to seek immediate dismissal of such charge or complaint on the basis that your signing of this Agreement constitutes a full release of any individual rights under the Discrimination Laws, or Synlogic’s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spacing w:after="0" w:line="190" w:lineRule="exact"/>
        <w:rPr>
          <w:sz w:val="20"/>
          <w:szCs w:val="20"/>
          <w:color w:val="auto"/>
        </w:rPr>
      </w:pPr>
    </w:p>
    <w:p>
      <w:pPr>
        <w:jc w:val="both"/>
        <w:ind w:left="1020" w:hanging="503"/>
        <w:spacing w:after="0" w:line="246" w:lineRule="auto"/>
        <w:tabs>
          <w:tab w:leader="none" w:pos="1020" w:val="left"/>
        </w:tabs>
        <w:numPr>
          <w:ilvl w:val="0"/>
          <w:numId w:val="1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Consequences of Breach</w:t>
      </w:r>
      <w:r>
        <w:rPr>
          <w:rFonts w:ascii="Times New Roman" w:cs="Times New Roman" w:eastAsia="Times New Roman" w:hAnsi="Times New Roman"/>
          <w:sz w:val="20"/>
          <w:szCs w:val="20"/>
          <w:color w:val="auto"/>
        </w:rPr>
        <w:t>. In addition to any other remedies set forth in this Agreement, a breach by you of any of your obligations set forth in this Agreement shall constitute a material breach of this Agreement and, in addition to any other legal or equitable remedy available to Synlogic, shall entitle Synlogic to cease any further payment of the Severance Pay and Benefits, and to recover any Severance Pay or Benefits or its support for other benefits already provided to you. Regardless of any such breach, your release set forth in Section 7 above shall remain in full force and effect.</w:t>
      </w:r>
    </w:p>
    <w:p>
      <w:pPr>
        <w:spacing w:after="0" w:line="184" w:lineRule="exact"/>
        <w:rPr>
          <w:rFonts w:ascii="Times New Roman" w:cs="Times New Roman" w:eastAsia="Times New Roman" w:hAnsi="Times New Roman"/>
          <w:sz w:val="20"/>
          <w:szCs w:val="20"/>
          <w:u w:val="single" w:color="auto"/>
          <w:color w:val="auto"/>
        </w:rPr>
      </w:pPr>
    </w:p>
    <w:p>
      <w:pPr>
        <w:ind w:left="1020" w:hanging="503"/>
        <w:spacing w:after="0"/>
        <w:tabs>
          <w:tab w:leader="none" w:pos="1020" w:val="left"/>
        </w:tabs>
        <w:numPr>
          <w:ilvl w:val="0"/>
          <w:numId w:val="1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Entire Agreement/Choice of Law/Enforceability/Jury Waiver/Successors and Assigns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u w:val="single" w:color="auto"/>
          <w:color w:val="auto"/>
        </w:rPr>
      </w:pPr>
    </w:p>
    <w:p>
      <w:pPr>
        <w:jc w:val="both"/>
        <w:ind w:left="1540" w:hanging="514"/>
        <w:spacing w:after="0" w:line="254" w:lineRule="auto"/>
        <w:tabs>
          <w:tab w:leader="none" w:pos="154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this Agreement, this Agreement supersedes any and all other prior oral and/or written agreements and sets forth the entire agreement between you and Synlogic. No variations or modifications hereof shall be deemed valid unless reduced to writing and signed by the parties hereto.</w:t>
      </w:r>
    </w:p>
    <w:p>
      <w:pPr>
        <w:spacing w:after="0" w:line="66" w:lineRule="exact"/>
        <w:rPr>
          <w:rFonts w:ascii="Times New Roman" w:cs="Times New Roman" w:eastAsia="Times New Roman" w:hAnsi="Times New Roman"/>
          <w:sz w:val="20"/>
          <w:szCs w:val="20"/>
          <w:color w:val="auto"/>
        </w:rPr>
      </w:pPr>
    </w:p>
    <w:p>
      <w:pPr>
        <w:ind w:left="1540" w:hanging="514"/>
        <w:spacing w:after="0" w:line="269" w:lineRule="auto"/>
        <w:tabs>
          <w:tab w:leader="none" w:pos="154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the law of the state where you reside on the date you sign this Agreement, without giving effect to conflict of law principles.</w:t>
      </w:r>
    </w:p>
    <w:p>
      <w:pPr>
        <w:spacing w:after="0" w:line="51" w:lineRule="exact"/>
        <w:rPr>
          <w:rFonts w:ascii="Times New Roman" w:cs="Times New Roman" w:eastAsia="Times New Roman" w:hAnsi="Times New Roman"/>
          <w:sz w:val="20"/>
          <w:szCs w:val="20"/>
          <w:color w:val="auto"/>
        </w:rPr>
      </w:pPr>
    </w:p>
    <w:p>
      <w:pPr>
        <w:ind w:left="1540" w:hanging="514"/>
        <w:spacing w:after="0" w:line="269" w:lineRule="auto"/>
        <w:tabs>
          <w:tab w:leader="none" w:pos="154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parties further agree that any action, demand, claim or counterclaim relating to this Agreement shall be resolved by a judge alone, and both parties hereby waive and forever renounce the right to a trial before a civil jury.</w:t>
      </w:r>
    </w:p>
    <w:p>
      <w:pPr>
        <w:spacing w:after="0" w:line="51" w:lineRule="exact"/>
        <w:rPr>
          <w:rFonts w:ascii="Times New Roman" w:cs="Times New Roman" w:eastAsia="Times New Roman" w:hAnsi="Times New Roman"/>
          <w:sz w:val="20"/>
          <w:szCs w:val="20"/>
          <w:color w:val="auto"/>
        </w:rPr>
      </w:pPr>
    </w:p>
    <w:p>
      <w:pPr>
        <w:jc w:val="both"/>
        <w:ind w:left="1540" w:hanging="514"/>
        <w:spacing w:after="0" w:line="246" w:lineRule="auto"/>
        <w:tabs>
          <w:tab w:leader="none" w:pos="154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release of Claims pursuant to Section 7 is determined to be unenforceable in whole or part, the Company will have the option, in its sole discretion, to either (a) declare the entire Agreement null and void and require you to refund the Severance Pay and Benefits provided for in this Agreement; or (b) enforce the portions of the Agreement found not to be unenforceable. In the event that any other provision of this Agreement is determined to be unenforceable in whole or part, the remainder of the Agreement shall be enforced in full.</w:t>
      </w:r>
    </w:p>
    <w:p>
      <w:pPr>
        <w:spacing w:after="0" w:line="76"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inure to the benefit of Synlogic and any of its successors and assigns.</w:t>
      </w:r>
    </w:p>
    <w:p>
      <w:pPr>
        <w:spacing w:after="0" w:line="22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It is Synlogic’s desire and intent to make certain that you fully understand the provisions and effects of this Agreement. By executing this Agreement, you are acknowledging (a) that you have been afforded sufficient time to understand the terms and effects of this Agreement and to consult with legal counsel, (b) that your agreements and obligations hereunder are made voluntarily, knowingly and without duress, and (c) that neither Synlogic nor its agents or representatives have made any representations inconsistent with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ind w:left="10220"/>
        <w:spacing w:after="0"/>
        <w:rPr>
          <w:sz w:val="20"/>
          <w:szCs w:val="20"/>
          <w:color w:val="auto"/>
        </w:rPr>
      </w:pPr>
      <w:r>
        <w:rPr>
          <w:rFonts w:ascii="Times New Roman" w:cs="Times New Roman" w:eastAsia="Times New Roman" w:hAnsi="Times New Roman"/>
          <w:sz w:val="17"/>
          <w:szCs w:val="17"/>
          <w:b w:val="1"/>
          <w:bCs w:val="1"/>
          <w:color w:val="auto"/>
        </w:rPr>
        <w:t>Exhibit 10.22</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you agree to the terms of this Agreement, please sign and return the enclosed copy of this Agreement by no later than April 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Very truly yours,</w:t>
            </w:r>
          </w:p>
        </w:tc>
        <w:tc>
          <w:tcPr>
            <w:tcW w:w="9160" w:type="dxa"/>
            <w:vAlign w:val="bottom"/>
          </w:tcPr>
          <w:p>
            <w:pPr>
              <w:spacing w:after="0"/>
              <w:rPr>
                <w:sz w:val="22"/>
                <w:szCs w:val="22"/>
                <w:color w:val="auto"/>
              </w:rPr>
            </w:pP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Synlogic, Inc.</w:t>
            </w:r>
          </w:p>
        </w:tc>
        <w:tc>
          <w:tcPr>
            <w:tcW w:w="9160" w:type="dxa"/>
            <w:vAlign w:val="bottom"/>
          </w:tcPr>
          <w:p>
            <w:pPr>
              <w:spacing w:after="0"/>
              <w:rPr>
                <w:sz w:val="24"/>
                <w:szCs w:val="24"/>
                <w:color w:val="auto"/>
              </w:rPr>
            </w:pPr>
          </w:p>
        </w:tc>
      </w:tr>
      <w:tr>
        <w:trPr>
          <w:trHeight w:val="430"/>
        </w:trPr>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Aoife Brennan</w:t>
            </w:r>
          </w:p>
        </w:tc>
        <w:tc>
          <w:tcPr>
            <w:tcW w:w="91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Accepted and Agreed To:</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By: Aoife Brennan. CEO</w:t>
            </w:r>
          </w:p>
        </w:tc>
        <w:tc>
          <w:tcPr>
            <w:tcW w:w="916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/s/ Tony Awad</w:t>
            </w:r>
          </w:p>
        </w:tc>
      </w:t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Dated: 2/16/2024</w:t>
            </w:r>
          </w:p>
        </w:tc>
        <w:tc>
          <w:tcPr>
            <w:tcW w:w="9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Dated: 2/17/2024</w:t>
            </w:r>
          </w:p>
        </w:tc>
      </w:tr>
      <w:tr>
        <w:trPr>
          <w:trHeight w:val="2283"/>
        </w:trPr>
        <w:tc>
          <w:tcPr>
            <w:tcW w:w="208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ind w:left="8240"/>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1371600" cy="514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4">
                      <a:extLst>
                        <a:ext uri="{28A0092B-C50C-407E-A947-70E740481C1C}"/>
                      </a:extLst>
                    </a:blip>
                    <a:srcRect/>
                    <a:stretch>
                      <a:fillRect/>
                    </a:stretch>
                  </pic:blipFill>
                  <pic:spPr bwMode="auto">
                    <a:xfrm>
                      <a:off x="0" y="0"/>
                      <a:ext cx="13716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Date: March 1, 2024</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Tony Awad</w:t>
      </w:r>
    </w:p>
    <w:p>
      <w:pPr>
        <w:spacing w:after="0" w:line="202"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Retention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Tony:</w:t>
      </w:r>
    </w:p>
    <w:p>
      <w:pPr>
        <w:spacing w:after="0" w:line="2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In recognition of your value and expected contributions to Synlogic, Inc. (“the Company”) we are pleased to offer you the following Retention Bonus Agreement (the “Agreement”).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Retention Bonus Amount and Eligibility Conditions</w:t>
      </w:r>
    </w:p>
    <w:p>
      <w:pPr>
        <w:spacing w:after="0" w:line="20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0"/>
          <w:szCs w:val="20"/>
          <w:color w:val="auto"/>
        </w:rPr>
        <w:t>If you (a) remain employed by the Company and continue to provide services at a satisfactory level through May 30, 2024 (the “Termination Date”) and (b) meet the remaining conditions of this paragraph, then you will receive a Retention Bonus in the amount of 75% of your base salary for each month worked on a pro rata basis, paid as a lump sum within thirty (30) days of your Termination Date. If you terminate your employment for any reason prior to May 30, 2024 or the Company terminates your employment for cause, then you shall not be eligible for the Retention Bonus. This bonus will be subject to all federal, state, city or other tax withholdings.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Terms</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20"/>
          <w:szCs w:val="20"/>
          <w:color w:val="auto"/>
        </w:rPr>
        <w:t>Nothing in this letter supersedes or in any way modifies any existing agreement(s) between you and the Company including, without limitation, any separation agreement, agreements concerning inventions assignment, protection of confidential information or trade secrets, non-solicitation of customers, clients, business or employee. This Retention Bonus is not intended and shall not be deemed a “wage” under any federal or state wage-hour law.</w:t>
      </w:r>
    </w:p>
    <w:p>
      <w:pPr>
        <w:spacing w:after="0" w:line="17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0"/>
          <w:szCs w:val="20"/>
          <w:color w:val="auto"/>
        </w:rPr>
        <w:t>You acknowledge that payment of the Retention Bonus is not part of normal or expected compensation for purposes of calculating any severance, resignation, redundancy, end of service payments, bonuses, long-service awards, pension or retirement benefits, matching contributions or similar payments.</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validity, interpretation and performance of this Agreement shall, in all respects, be governed by the laws of the Commonwealth of Massachusetts. No provision of this Agreement may be modified, altered or amended, except in a writing signed by both you and an authorized Officer of the Company. The Company may assign or delegate this Agreement or any of its rights or obligations hereunder to a person or entity that is an affiliate of or successor to the Company.</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On behalf of Synlogic, I want to thank you in advance for your efforts in helping the Company. Please confirm your understanding and agreement to the terms and conditions of this Agreement by signing and returning the enclosed copy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0" w:name="page191"/>
    <w:bookmarkEnd w:id="190"/>
    <w:p>
      <w:pPr>
        <w:ind w:left="4500"/>
        <w:spacing w:after="0"/>
        <w:rPr>
          <w:sz w:val="20"/>
          <w:szCs w:val="20"/>
          <w:color w:val="auto"/>
        </w:rPr>
      </w:pPr>
      <w:r>
        <w:rPr>
          <w:rFonts w:ascii="Arial" w:cs="Arial" w:eastAsia="Arial" w:hAnsi="Arial"/>
          <w:sz w:val="20"/>
          <w:szCs w:val="20"/>
          <w:color w:val="auto"/>
        </w:rPr>
        <w:t>Sincerely,</w:t>
      </w:r>
    </w:p>
    <w:p>
      <w:pPr>
        <w:spacing w:after="0" w:line="9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SYNLOGIC, INC.</w:t>
      </w:r>
    </w:p>
    <w:p>
      <w:pPr>
        <w:spacing w:after="0" w:line="9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18"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 Peter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3136900</wp:posOffset>
            </wp:positionH>
            <wp:positionV relativeFrom="paragraph">
              <wp:posOffset>-11430</wp:posOffset>
            </wp:positionV>
            <wp:extent cx="16751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6">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74" w:lineRule="exact"/>
        <w:rPr>
          <w:sz w:val="20"/>
          <w:szCs w:val="20"/>
          <w:color w:val="auto"/>
        </w:rPr>
      </w:pPr>
    </w:p>
    <w:p>
      <w:pPr>
        <w:jc w:val="right"/>
        <w:ind w:right="3079"/>
        <w:spacing w:after="0"/>
        <w:rPr>
          <w:sz w:val="20"/>
          <w:szCs w:val="20"/>
          <w:color w:val="auto"/>
        </w:rPr>
      </w:pPr>
      <w:r>
        <w:rPr>
          <w:rFonts w:ascii="Arial" w:cs="Arial" w:eastAsia="Arial" w:hAnsi="Arial"/>
          <w:sz w:val="20"/>
          <w:szCs w:val="20"/>
          <w:color w:val="auto"/>
        </w:rPr>
        <w:t>Name: Peter Barrett</w:t>
      </w:r>
    </w:p>
    <w:p>
      <w:pPr>
        <w:spacing w:after="0" w:line="94" w:lineRule="exact"/>
        <w:rPr>
          <w:sz w:val="20"/>
          <w:szCs w:val="20"/>
          <w:color w:val="auto"/>
        </w:rPr>
      </w:pPr>
    </w:p>
    <w:p>
      <w:pPr>
        <w:ind w:left="3520"/>
        <w:spacing w:after="0"/>
        <w:tabs>
          <w:tab w:leader="none" w:pos="41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Chair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Accepted and Approved: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 Tony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11696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7">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Name: Tony Awad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Date: 3/7/2024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1226820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-11430</wp:posOffset>
            </wp:positionV>
            <wp:extent cx="78168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9">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ectPr>
          <w:pgSz w:w="11900" w:h="16838" w:orient="portrait"/>
          <w:cols w:equalWidth="0" w:num="1">
            <w:col w:w="10139"/>
          </w:cols>
          <w:pgMar w:left="320" w:top="1414" w:right="1440"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291465</wp:posOffset>
            </wp:positionV>
            <wp:extent cx="1508760" cy="6597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0">
                      <a:extLst>
                        <a:ext uri="{28A0092B-C50C-407E-A947-70E740481C1C}"/>
                      </a:extLst>
                    </a:blip>
                    <a:srcRect/>
                    <a:stretch>
                      <a:fillRect/>
                    </a:stretch>
                  </pic:blipFill>
                  <pic:spPr bwMode="auto">
                    <a:xfrm>
                      <a:off x="0" y="0"/>
                      <a:ext cx="150876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Synlogic, Inc.</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301 Binney Street, Suite 402</w:t>
      </w:r>
    </w:p>
    <w:p>
      <w:pPr>
        <w:jc w:val="center"/>
        <w:ind w:right="20"/>
        <w:spacing w:after="0"/>
        <w:rPr>
          <w:sz w:val="20"/>
          <w:szCs w:val="20"/>
          <w:color w:val="auto"/>
        </w:rPr>
      </w:pPr>
      <w:r>
        <w:rPr>
          <w:rFonts w:ascii="Times New Roman" w:cs="Times New Roman" w:eastAsia="Times New Roman" w:hAnsi="Times New Roman"/>
          <w:sz w:val="22"/>
          <w:szCs w:val="22"/>
          <w:color w:val="auto"/>
        </w:rPr>
        <w:t>Cambridge, MA 02142</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REVISED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5, 2018</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Mary Beth Dooley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____________</w:t>
      </w:r>
    </w:p>
    <w:p>
      <w:pPr>
        <w:spacing w:after="0"/>
        <w:rPr>
          <w:sz w:val="20"/>
          <w:szCs w:val="20"/>
          <w:color w:val="auto"/>
        </w:rPr>
      </w:pPr>
      <w:r>
        <w:rPr>
          <w:rFonts w:ascii="Times New Roman" w:cs="Times New Roman" w:eastAsia="Times New Roman" w:hAnsi="Times New Roman"/>
          <w:sz w:val="22"/>
          <w:szCs w:val="22"/>
          <w:color w:val="auto"/>
        </w:rPr>
        <w:t>____________</w:t>
      </w:r>
    </w:p>
    <w:p>
      <w:pPr>
        <w:spacing w:after="0" w:line="200" w:lineRule="exact"/>
        <w:rPr>
          <w:sz w:val="20"/>
          <w:szCs w:val="20"/>
          <w:color w:val="auto"/>
        </w:rPr>
      </w:pPr>
    </w:p>
    <w:p>
      <w:pPr>
        <w:spacing w:after="0" w:line="2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Re: Employment Letter Agreement</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Dear Mary Beth,</w:t>
      </w:r>
    </w:p>
    <w:p>
      <w:pPr>
        <w:spacing w:after="0" w:line="233" w:lineRule="exact"/>
        <w:rPr>
          <w:sz w:val="20"/>
          <w:szCs w:val="20"/>
          <w:color w:val="auto"/>
        </w:rPr>
      </w:pPr>
    </w:p>
    <w:p>
      <w:pPr>
        <w:jc w:val="both"/>
        <w:ind w:left="120" w:right="120" w:firstLine="747"/>
        <w:spacing w:after="0" w:line="244" w:lineRule="auto"/>
        <w:rPr>
          <w:sz w:val="20"/>
          <w:szCs w:val="20"/>
          <w:color w:val="auto"/>
        </w:rPr>
      </w:pPr>
      <w:r>
        <w:rPr>
          <w:rFonts w:ascii="Times New Roman" w:cs="Times New Roman" w:eastAsia="Times New Roman" w:hAnsi="Times New Roman"/>
          <w:sz w:val="22"/>
          <w:szCs w:val="22"/>
          <w:color w:val="auto"/>
        </w:rPr>
        <w:t>I am delighted to provide you with the terms and conditions of your employment by Synlogic, Inc., a Delaware corporation (the “Company”). We were all very impressed with your candidacy and think you would make an excellent addition to our team.</w:t>
      </w:r>
    </w:p>
    <w:p>
      <w:pPr>
        <w:spacing w:after="0" w:line="200" w:lineRule="exact"/>
        <w:rPr>
          <w:sz w:val="20"/>
          <w:szCs w:val="20"/>
          <w:color w:val="auto"/>
        </w:rPr>
      </w:pPr>
    </w:p>
    <w:p>
      <w:pPr>
        <w:jc w:val="both"/>
        <w:ind w:left="120" w:right="120" w:firstLine="749"/>
        <w:spacing w:after="0" w:line="239"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Your initial position will be Associate Director, Financial Analyst at the Associate Director level. In addition to performing duties and responsibilities associated with your position, from time to time the Company may assign you other duties and responsibilities consistent with such position. Your principal place of employment will be at the Company’s corporate offices in Cambridge, Massachusetts.</w:t>
      </w:r>
    </w:p>
    <w:p>
      <w:pPr>
        <w:spacing w:after="0" w:line="207" w:lineRule="exact"/>
        <w:rPr>
          <w:sz w:val="20"/>
          <w:szCs w:val="20"/>
          <w:color w:val="auto"/>
        </w:rPr>
      </w:pPr>
    </w:p>
    <w:p>
      <w:pPr>
        <w:jc w:val="both"/>
        <w:ind w:left="120" w:right="120" w:firstLine="749"/>
        <w:spacing w:after="0" w:line="258"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Response and Start Date</w:t>
      </w:r>
      <w:r>
        <w:rPr>
          <w:rFonts w:ascii="Times New Roman" w:cs="Times New Roman" w:eastAsia="Times New Roman" w:hAnsi="Times New Roman"/>
          <w:sz w:val="22"/>
          <w:szCs w:val="22"/>
          <w:color w:val="auto"/>
        </w:rPr>
        <w:t>. This offer of employment will expire within 5 business days. Please do not hesitate to contact me if you have any questions about these terms and conditions, or if I can provide any further information.</w:t>
      </w:r>
    </w:p>
    <w:p>
      <w:pPr>
        <w:spacing w:after="0" w:line="185" w:lineRule="exact"/>
        <w:rPr>
          <w:sz w:val="20"/>
          <w:szCs w:val="20"/>
          <w:color w:val="auto"/>
        </w:rPr>
      </w:pPr>
    </w:p>
    <w:p>
      <w:pPr>
        <w:jc w:val="both"/>
        <w:ind w:left="120" w:right="120" w:firstLine="747"/>
        <w:spacing w:after="0" w:line="258" w:lineRule="auto"/>
        <w:rPr>
          <w:sz w:val="20"/>
          <w:szCs w:val="20"/>
          <w:color w:val="auto"/>
        </w:rPr>
      </w:pPr>
      <w:r>
        <w:rPr>
          <w:rFonts w:ascii="Times New Roman" w:cs="Times New Roman" w:eastAsia="Times New Roman" w:hAnsi="Times New Roman"/>
          <w:sz w:val="22"/>
          <w:szCs w:val="22"/>
          <w:color w:val="auto"/>
        </w:rPr>
        <w:t>It is expected that your employment will start on June 4, 2018 or such other later date as you and the Company may mutually agree (the “Start Date”).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Nature of Relationship; Status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20" w:right="120" w:firstLine="749"/>
        <w:spacing w:after="0" w:line="244" w:lineRule="auto"/>
        <w:rPr>
          <w:sz w:val="20"/>
          <w:szCs w:val="20"/>
          <w:color w:val="auto"/>
        </w:rPr>
      </w:pPr>
      <w:r>
        <w:rPr>
          <w:rFonts w:ascii="Times New Roman" w:cs="Times New Roman" w:eastAsia="Times New Roman" w:hAnsi="Times New Roman"/>
          <w:sz w:val="22"/>
          <w:szCs w:val="22"/>
          <w:color w:val="auto"/>
        </w:rPr>
        <w:t>(a)You are employed at will. No provision of this Agreement will be construed to create an express or implied employment contract for a specific period of time. Either you or the Company may terminate the employment relationship at any time and for any reason upon written notice to the other party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2" w:name="page193"/>
    <w:bookmarkEnd w:id="192"/>
    <w:p>
      <w:pPr>
        <w:spacing w:after="0" w:line="198"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color w:val="auto"/>
        </w:rPr>
        <w:t>(b)You will be expected to devote the necessary full time business time and energies to the business and affairs of the Company in order to perform your duties. You will perform the foregoing services at the principal office of the Company, or at any other location mutually agreed upon by you and the Company.</w:t>
      </w:r>
    </w:p>
    <w:p>
      <w:pPr>
        <w:spacing w:after="0" w:line="2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00" w:firstLine="749"/>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Your initial base salary will be at the rate of $150,000 per annum, which will be prorated for any partial year, month or week.</w:t>
      </w:r>
    </w:p>
    <w:p>
      <w:pPr>
        <w:spacing w:after="0" w:line="185"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You will be entitled to reimbursement for all ordinary and reasonable out-of-pocket business expenses that are reasonably incurred by you in furtherance of the Company’s business, following submission of reasonably detailed receipts.</w:t>
      </w:r>
    </w:p>
    <w:p>
      <w:pPr>
        <w:spacing w:after="0" w:line="200" w:lineRule="exact"/>
        <w:rPr>
          <w:sz w:val="20"/>
          <w:szCs w:val="20"/>
          <w:color w:val="auto"/>
        </w:rPr>
      </w:pPr>
    </w:p>
    <w:p>
      <w:pPr>
        <w:jc w:val="both"/>
        <w:ind w:left="100" w:firstLine="749"/>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Bonus Opportunity</w:t>
      </w:r>
      <w:r>
        <w:rPr>
          <w:rFonts w:ascii="Times New Roman" w:cs="Times New Roman" w:eastAsia="Times New Roman" w:hAnsi="Times New Roman"/>
          <w:sz w:val="22"/>
          <w:szCs w:val="22"/>
          <w:color w:val="auto"/>
        </w:rPr>
        <w:t>. Your bonus target is fifteen percent (15%). Bonus payments are completely discretionary. Under the currently approved Synlogic Non-Executive Bonus Program payouts typically range from 0 – 150% of target based on the achievement of, or progress toward, individual, departmental and/or corporate objectives and goals, as reasonably determined by the Board of Directors (the “Board”). The Bonus Program can be reviewed at any time at the discretion of the Board. We aim to pay for performance and strive for transparency in our compensation programs. It is therefore important to note that typically an individual, or the company or both will have to exceed some or most goals for an employee to receive a payout at, or above, the target percentage.</w:t>
      </w:r>
    </w:p>
    <w:p>
      <w:pPr>
        <w:spacing w:after="0" w:line="210" w:lineRule="exact"/>
        <w:rPr>
          <w:sz w:val="20"/>
          <w:szCs w:val="20"/>
          <w:color w:val="auto"/>
        </w:rPr>
      </w:pPr>
    </w:p>
    <w:p>
      <w:pPr>
        <w:jc w:val="both"/>
        <w:ind w:left="100" w:firstLine="1496"/>
        <w:spacing w:after="0" w:line="244" w:lineRule="auto"/>
        <w:rPr>
          <w:sz w:val="20"/>
          <w:szCs w:val="20"/>
          <w:color w:val="auto"/>
        </w:rPr>
      </w:pPr>
      <w:r>
        <w:rPr>
          <w:rFonts w:ascii="Times New Roman" w:cs="Times New Roman" w:eastAsia="Times New Roman" w:hAnsi="Times New Roman"/>
          <w:sz w:val="22"/>
          <w:szCs w:val="22"/>
          <w:color w:val="auto"/>
        </w:rPr>
        <w:t>To be eligible for any such bonus for a given Fiscal Year, your Start Date must be before November 1 in that Fiscal Year and you must be employed by the Company in good standing at the time such bonus is awarded. The bonus, if any, will be pro-rated from the Start Date.</w:t>
      </w:r>
    </w:p>
    <w:p>
      <w:pPr>
        <w:spacing w:after="0" w:line="200" w:lineRule="exact"/>
        <w:rPr>
          <w:sz w:val="20"/>
          <w:szCs w:val="20"/>
          <w:color w:val="auto"/>
        </w:rPr>
      </w:pPr>
    </w:p>
    <w:p>
      <w:pPr>
        <w:jc w:val="both"/>
        <w:ind w:left="100" w:firstLine="749"/>
        <w:spacing w:after="0" w:line="235"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Subject to the terms of the Company’s then applicable equity incentive plan (“Incentive Plan”) and form of option agreement, and subject to approval by the Board of Directors of the Company, you will be granted an option to purchase an aggregate of five thousand (5,000) shares of the Common Stock on the date of the grant, intended to qualify as an “incentive stock option” to the to the maximum extent allowed under Section 422 of the Internal Revenue Code. The option will vest as to one-fourth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of the shares on the first anniversary of the Start Date, and the remainder will vest one-forty-eighth (1/48</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per month thereafter. All tax consequences resulting from the grant, vesting, or exercise of the option to or by you, or from the disposition by you of such shares of Common Stock, will be your responsibility.</w:t>
      </w:r>
    </w:p>
    <w:p>
      <w:pPr>
        <w:spacing w:after="0" w:line="75" w:lineRule="exact"/>
        <w:rPr>
          <w:sz w:val="20"/>
          <w:szCs w:val="20"/>
          <w:color w:val="auto"/>
        </w:rPr>
      </w:pPr>
    </w:p>
    <w:p>
      <w:pPr>
        <w:jc w:val="both"/>
        <w:ind w:left="100" w:right="120" w:firstLine="749"/>
        <w:spacing w:after="0" w:line="239"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Sign-on Bonus: Sign-On</w:t>
      </w:r>
      <w:r>
        <w:rPr>
          <w:rFonts w:ascii="Times New Roman" w:cs="Times New Roman" w:eastAsia="Times New Roman" w:hAnsi="Times New Roman"/>
          <w:sz w:val="22"/>
          <w:szCs w:val="22"/>
          <w:color w:val="auto"/>
        </w:rPr>
        <w:t>: You will be entitled to receive a separate sign-on bonus of twenty thousand ($20,000). The sign-on bonus will be payable within two payroll cycles after your start date. You will be required to repay any such sign-on bonuses in full within 30 days if your employment is terminated within 24 months of your date of hire by the Company for Cause or by you for any reason.</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789940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193" w:name="page194"/>
    <w:bookmarkEnd w:id="193"/>
    <w:p>
      <w:pPr>
        <w:spacing w:after="0" w:line="198"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(a)Vacation</w:t>
      </w:r>
      <w:r>
        <w:rPr>
          <w:rFonts w:ascii="Times New Roman" w:cs="Times New Roman" w:eastAsia="Times New Roman" w:hAnsi="Times New Roman"/>
          <w:sz w:val="22"/>
          <w:szCs w:val="22"/>
          <w:color w:val="auto"/>
        </w:rPr>
        <w:t>. You will be eligible for three (3) weeks paid vacation on top of the standard Massachusetts holidays. Vacation eligibility will accrue at a rate of ten (10) hours per month of service, and up to five (5) unused vacation days may be carried over from one year to the next year.</w:t>
      </w:r>
    </w:p>
    <w:p>
      <w:pPr>
        <w:spacing w:after="0" w:line="200" w:lineRule="exact"/>
        <w:rPr>
          <w:sz w:val="20"/>
          <w:szCs w:val="20"/>
          <w:color w:val="auto"/>
        </w:rPr>
      </w:pPr>
    </w:p>
    <w:p>
      <w:pPr>
        <w:jc w:val="both"/>
        <w:ind w:left="10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(b)Benefits</w:t>
      </w:r>
      <w:r>
        <w:rPr>
          <w:rFonts w:ascii="Times New Roman" w:cs="Times New Roman" w:eastAsia="Times New Roman" w:hAnsi="Times New Roman"/>
          <w:sz w:val="22"/>
          <w:szCs w:val="22"/>
          <w:color w:val="auto"/>
        </w:rPr>
        <w:t>. You will be eligible to participate in the benefits provided by the Company to its employees. Please note that where any particular benefit is governed by a formal plan document, your eligibility and coverage will be determined by such document, and the Company may change its benefit offerings from time to time in its discretion to meet its business needs. The Company retains the right to change, add or cease any particular benefit.</w:t>
      </w:r>
    </w:p>
    <w:p>
      <w:pPr>
        <w:spacing w:after="0" w:line="207" w:lineRule="exact"/>
        <w:rPr>
          <w:sz w:val="20"/>
          <w:szCs w:val="20"/>
          <w:color w:val="auto"/>
        </w:rPr>
      </w:pPr>
    </w:p>
    <w:p>
      <w:pPr>
        <w:jc w:val="both"/>
        <w:ind w:left="100" w:firstLine="749"/>
        <w:spacing w:after="0" w:line="239"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Confidentiality, Inventions and Non-Competition</w:t>
      </w:r>
      <w:r>
        <w:rPr>
          <w:rFonts w:ascii="Times New Roman" w:cs="Times New Roman" w:eastAsia="Times New Roman" w:hAnsi="Times New Roman"/>
          <w:sz w:val="22"/>
          <w:szCs w:val="22"/>
          <w:color w:val="auto"/>
        </w:rPr>
        <w:t xml:space="preserve">. The Company considers the protection of its confidential information and proprietary materials to be very important. Therefore, as a condition of your employment, you and the Company will become parties to a Non- Solicitation, Invention and Non-Disclosure Agreement substantially in the form of </w:t>
      </w:r>
      <w:r>
        <w:rPr>
          <w:rFonts w:ascii="Times New Roman" w:cs="Times New Roman" w:eastAsia="Times New Roman" w:hAnsi="Times New Roman"/>
          <w:sz w:val="22"/>
          <w:szCs w:val="22"/>
          <w:u w:val="single" w:color="auto"/>
          <w:color w:val="auto"/>
        </w:rPr>
        <w:t>Attachment A- 1</w:t>
      </w:r>
      <w:r>
        <w:rPr>
          <w:rFonts w:ascii="Times New Roman" w:cs="Times New Roman" w:eastAsia="Times New Roman" w:hAnsi="Times New Roman"/>
          <w:sz w:val="22"/>
          <w:szCs w:val="22"/>
          <w:color w:val="auto"/>
        </w:rPr>
        <w:t xml:space="preserve"> to this letter (the “Related Agreement”).</w:t>
      </w:r>
    </w:p>
    <w:p>
      <w:pPr>
        <w:spacing w:after="0" w:line="207" w:lineRule="exact"/>
        <w:rPr>
          <w:sz w:val="20"/>
          <w:szCs w:val="20"/>
          <w:color w:val="auto"/>
        </w:rPr>
      </w:pPr>
    </w:p>
    <w:p>
      <w:pPr>
        <w:jc w:val="both"/>
        <w:ind w:left="100" w:right="120" w:firstLine="749"/>
        <w:spacing w:after="0" w:line="244"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Use of Name or Likeness.</w:t>
      </w:r>
      <w:r>
        <w:rPr>
          <w:rFonts w:ascii="Times New Roman" w:cs="Times New Roman" w:eastAsia="Times New Roman" w:hAnsi="Times New Roman"/>
          <w:sz w:val="22"/>
          <w:szCs w:val="22"/>
          <w:color w:val="auto"/>
        </w:rPr>
        <w:t xml:space="preserve"> You hereby authorize the Company to use, publish, and copyright all or part of my name, voice, picture, portrait, and likeness as the Company may decide in its sole discretion, in all media and types of advertising for any product or service or for any other lawful purpose, without review by me.</w:t>
      </w:r>
    </w:p>
    <w:p>
      <w:pPr>
        <w:spacing w:after="0" w:line="2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(a)Entire Agreement</w:t>
      </w:r>
      <w:r>
        <w:rPr>
          <w:rFonts w:ascii="Times New Roman" w:cs="Times New Roman" w:eastAsia="Times New Roman" w:hAnsi="Times New Roman"/>
          <w:sz w:val="22"/>
          <w:szCs w:val="22"/>
          <w:color w:val="auto"/>
        </w:rPr>
        <w:t>. This letter, together with the Related Agreement, will constitute our entire agreement as to your employment by or consultancy for the Company and will supersede any prior agreements or understandings, whether in writing or oral.</w:t>
      </w:r>
    </w:p>
    <w:p>
      <w:pPr>
        <w:spacing w:after="0" w:line="200" w:lineRule="exact"/>
        <w:rPr>
          <w:sz w:val="20"/>
          <w:szCs w:val="20"/>
          <w:color w:val="auto"/>
        </w:rPr>
      </w:pPr>
    </w:p>
    <w:p>
      <w:pPr>
        <w:jc w:val="both"/>
        <w:ind w:left="100"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(b)Notices</w:t>
      </w:r>
      <w:r>
        <w:rPr>
          <w:rFonts w:ascii="Times New Roman" w:cs="Times New Roman" w:eastAsia="Times New Roman" w:hAnsi="Times New Roman"/>
          <w:sz w:val="22"/>
          <w:szCs w:val="22"/>
          <w:color w:val="auto"/>
        </w:rPr>
        <w:t>. All notices, requests, consents and other communications hereunder will be in writing, will be addressed to the receiving party’s address set forth above or to such other address as a party may designate by notice hereunder, and will be either (i) delivered by hand, (ii) sent by overnight courier, (iii) sent by registered mail, return receipt requested, postage prepaid (iv) sent by facsimile, electronic mail or electronic PDF transmission, in each case with confirmation retained. All notices, requests, consents and other communications hereunder will be deemed to have been given either (i) if by hand, at the time of the delivery thereof to the receiving party at the address of such party set forth above, (ii) if sent by overnight courier, on the next business day following the day such notice is delivered to the courier service, (iii) if sent by registered mail, on the fifth business day following the day such mailing is made or (iv) when confirmation is received, if sent by facsimile or electronic transmission.</w:t>
      </w:r>
    </w:p>
    <w:p>
      <w:pPr>
        <w:spacing w:after="0" w:line="210" w:lineRule="exact"/>
        <w:rPr>
          <w:sz w:val="20"/>
          <w:szCs w:val="20"/>
          <w:color w:val="auto"/>
        </w:rPr>
      </w:pPr>
    </w:p>
    <w:p>
      <w:pPr>
        <w:jc w:val="both"/>
        <w:ind w:left="100"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(c)Modifications or Amendments</w:t>
      </w:r>
      <w:r>
        <w:rPr>
          <w:rFonts w:ascii="Times New Roman" w:cs="Times New Roman" w:eastAsia="Times New Roman" w:hAnsi="Times New Roman"/>
          <w:sz w:val="22"/>
          <w:szCs w:val="22"/>
          <w:color w:val="auto"/>
        </w:rPr>
        <w:t>. The terms and provisions of this letter may be modified or amended only by written agreement executed by the parties hereto.</w:t>
      </w:r>
    </w:p>
    <w:p>
      <w:pPr>
        <w:spacing w:after="0" w:line="185" w:lineRule="exact"/>
        <w:rPr>
          <w:sz w:val="20"/>
          <w:szCs w:val="20"/>
          <w:color w:val="auto"/>
        </w:rPr>
      </w:pPr>
    </w:p>
    <w:p>
      <w:pPr>
        <w:jc w:val="both"/>
        <w:ind w:left="10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(d)Waivers and Consents</w:t>
      </w:r>
      <w:r>
        <w:rPr>
          <w:rFonts w:ascii="Times New Roman" w:cs="Times New Roman" w:eastAsia="Times New Roman" w:hAnsi="Times New Roman"/>
          <w:sz w:val="22"/>
          <w:szCs w:val="22"/>
          <w:color w:val="auto"/>
        </w:rPr>
        <w:t>. The terms and provisions of this letter may be waived, or consent for the departure therefrom granted, only by written document executed by the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789940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194" w:name="page195"/>
    <w:bookmarkEnd w:id="194"/>
    <w:p>
      <w:pPr>
        <w:jc w:val="both"/>
        <w:spacing w:after="0" w:line="239" w:lineRule="auto"/>
        <w:rPr>
          <w:sz w:val="20"/>
          <w:szCs w:val="20"/>
          <w:color w:val="auto"/>
        </w:rPr>
      </w:pPr>
      <w:r>
        <w:rPr>
          <w:rFonts w:ascii="Times New Roman" w:cs="Times New Roman" w:eastAsia="Times New Roman" w:hAnsi="Times New Roman"/>
          <w:sz w:val="22"/>
          <w:szCs w:val="22"/>
          <w:color w:val="auto"/>
        </w:rPr>
        <w:t>entitled to the benefits of such terms or provisions. No such waiver or consent will be deemed to be or will constitute a waiver or consent with respect to any other terms or provisions of this letter, whether or not similar. Each such waiver or consent will be effective only in the specific instance and for the purpose for which it was given, and will not constitute a continuing waiver or consent.</w:t>
      </w:r>
    </w:p>
    <w:p>
      <w:pPr>
        <w:spacing w:after="0" w:line="207" w:lineRule="exact"/>
        <w:rPr>
          <w:sz w:val="20"/>
          <w:szCs w:val="20"/>
          <w:color w:val="auto"/>
        </w:rPr>
      </w:pPr>
    </w:p>
    <w:p>
      <w:pPr>
        <w:jc w:val="both"/>
        <w:ind w:left="12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(e)Assignment</w:t>
      </w:r>
      <w:r>
        <w:rPr>
          <w:rFonts w:ascii="Times New Roman" w:cs="Times New Roman" w:eastAsia="Times New Roman" w:hAnsi="Times New Roman"/>
          <w:sz w:val="22"/>
          <w:szCs w:val="22"/>
          <w:color w:val="auto"/>
        </w:rPr>
        <w:t>. The Company may assign its rights and obligations hereunder to any person or entity that succeeds to all or substantially all of the Company’s business or that aspect of the Company’s business in which you are principally involved. You may not assign your rights and obligations under this letter without the prior written consent of the Company and any such attempted assignment by you without the prior written consent of the Company will be void.</w:t>
      </w:r>
    </w:p>
    <w:p>
      <w:pPr>
        <w:spacing w:after="0" w:line="207" w:lineRule="exact"/>
        <w:rPr>
          <w:sz w:val="20"/>
          <w:szCs w:val="20"/>
          <w:color w:val="auto"/>
        </w:rPr>
      </w:pPr>
    </w:p>
    <w:p>
      <w:pPr>
        <w:jc w:val="both"/>
        <w:ind w:left="12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(f)Benefit</w:t>
      </w:r>
      <w:r>
        <w:rPr>
          <w:rFonts w:ascii="Times New Roman" w:cs="Times New Roman" w:eastAsia="Times New Roman" w:hAnsi="Times New Roman"/>
          <w:sz w:val="22"/>
          <w:szCs w:val="22"/>
          <w:color w:val="auto"/>
        </w:rPr>
        <w:t>. All statements, representations, warranties, covenants and agreements in this letter will be binding on the parties hereto and will inure to the benefit of the respective successors and permitted assigns of each party hereto. Nothing in this letter will be construed to create any rights or obligations except between the Company and you, and no person or entity other than the Company will be regarded as a third party beneficiary of this letter.</w:t>
      </w:r>
    </w:p>
    <w:p>
      <w:pPr>
        <w:spacing w:after="0" w:line="221" w:lineRule="exact"/>
        <w:rPr>
          <w:sz w:val="20"/>
          <w:szCs w:val="20"/>
          <w:color w:val="auto"/>
        </w:rPr>
      </w:pPr>
    </w:p>
    <w:p>
      <w:pPr>
        <w:jc w:val="both"/>
        <w:ind w:left="1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(g)Governing Law</w:t>
      </w:r>
      <w:r>
        <w:rPr>
          <w:rFonts w:ascii="Times New Roman" w:cs="Times New Roman" w:eastAsia="Times New Roman" w:hAnsi="Times New Roman"/>
          <w:sz w:val="22"/>
          <w:szCs w:val="22"/>
          <w:color w:val="auto"/>
        </w:rPr>
        <w:t>. This letter and the rights and obligations of the parties hereunder will be construed in accordance with and governed by the internal law of the Commonwealth of Massachusetts, without giving effect to the conflict of law principles thereof.</w:t>
      </w:r>
    </w:p>
    <w:p>
      <w:pPr>
        <w:spacing w:after="0" w:line="200" w:lineRule="exact"/>
        <w:rPr>
          <w:sz w:val="20"/>
          <w:szCs w:val="20"/>
          <w:color w:val="auto"/>
        </w:rPr>
      </w:pPr>
    </w:p>
    <w:p>
      <w:pPr>
        <w:jc w:val="both"/>
        <w:ind w:left="12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(h)Jurisdiction; Venue and Service of Process</w:t>
      </w:r>
      <w:r>
        <w:rPr>
          <w:rFonts w:ascii="Times New Roman" w:cs="Times New Roman" w:eastAsia="Times New Roman" w:hAnsi="Times New Roman"/>
          <w:sz w:val="22"/>
          <w:szCs w:val="22"/>
          <w:color w:val="auto"/>
        </w:rPr>
        <w:t>. Any legal action or proceeding with respect to this letter will be brought in the courts of the Commonwealth of Massachusetts (or, if appropriate, a federal court located within the Commonwealth of Massachusetts). By execution and delivery of this letter, each of the parties hereto accepts for itself and in respect of its property, generally and unconditionally, the exclusive jurisdiction of the aforesaid courts.</w:t>
      </w:r>
    </w:p>
    <w:p>
      <w:pPr>
        <w:spacing w:after="0" w:line="207" w:lineRule="exact"/>
        <w:rPr>
          <w:sz w:val="20"/>
          <w:szCs w:val="20"/>
          <w:color w:val="auto"/>
        </w:rPr>
      </w:pPr>
    </w:p>
    <w:p>
      <w:pPr>
        <w:jc w:val="both"/>
        <w:ind w:left="1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(i)WAIVER OF JURY TRIAL</w:t>
      </w:r>
      <w:r>
        <w:rPr>
          <w:rFonts w:ascii="Times New Roman" w:cs="Times New Roman" w:eastAsia="Times New Roman" w:hAnsi="Times New Roman"/>
          <w:sz w:val="22"/>
          <w:szCs w:val="22"/>
          <w:color w:val="auto"/>
        </w:rPr>
        <w:t>. ANY ACTION, DEMAND, CLAIM OR COUNTERCLAIM ARISING UNDER OR RELATING TO THIS AGREEMENT WILL BE RESOLVED BY A JUDGE ALONE AND EACH OF THE COMPANY AND YOU WAIVE ANY RIGHT TO A JURY TRIAL THEREOF.</w:t>
      </w:r>
    </w:p>
    <w:p>
      <w:pPr>
        <w:spacing w:after="0" w:line="200" w:lineRule="exact"/>
        <w:rPr>
          <w:sz w:val="20"/>
          <w:szCs w:val="20"/>
          <w:color w:val="auto"/>
        </w:rPr>
      </w:pPr>
    </w:p>
    <w:p>
      <w:pPr>
        <w:jc w:val="both"/>
        <w:ind w:left="120" w:firstLine="749"/>
        <w:spacing w:after="0" w:line="282" w:lineRule="auto"/>
        <w:rPr>
          <w:sz w:val="20"/>
          <w:szCs w:val="20"/>
          <w:color w:val="auto"/>
        </w:rPr>
      </w:pPr>
      <w:r>
        <w:rPr>
          <w:rFonts w:ascii="Times New Roman" w:cs="Times New Roman" w:eastAsia="Times New Roman" w:hAnsi="Times New Roman"/>
          <w:sz w:val="21"/>
          <w:szCs w:val="21"/>
          <w:u w:val="single" w:color="auto"/>
          <w:color w:val="auto"/>
        </w:rPr>
        <w:t>(j)Counterparts</w:t>
      </w:r>
      <w:r>
        <w:rPr>
          <w:rFonts w:ascii="Times New Roman" w:cs="Times New Roman" w:eastAsia="Times New Roman" w:hAnsi="Times New Roman"/>
          <w:sz w:val="21"/>
          <w:szCs w:val="21"/>
          <w:color w:val="auto"/>
        </w:rPr>
        <w:t>. This letter may be executed in two or more counterparts, and by different parties hereto on separate counterparts, each of which will be deemed an original, but all of which together will constitute one and the same instrument.</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6" w:right="459" w:bottom="1440" w:gutter="0" w:footer="0" w:header="0"/>
        </w:sectPr>
      </w:pPr>
    </w:p>
    <w:bookmarkStart w:id="195" w:name="page196"/>
    <w:bookmarkEnd w:id="195"/>
    <w:p>
      <w:pPr>
        <w:spacing w:after="0" w:line="198" w:lineRule="exact"/>
        <w:rPr>
          <w:sz w:val="20"/>
          <w:szCs w:val="20"/>
          <w:color w:val="auto"/>
        </w:rPr>
      </w:pPr>
    </w:p>
    <w:p>
      <w:pPr>
        <w:jc w:val="both"/>
        <w:ind w:left="120" w:firstLine="747"/>
        <w:spacing w:after="0" w:line="244" w:lineRule="auto"/>
        <w:rPr>
          <w:sz w:val="20"/>
          <w:szCs w:val="20"/>
          <w:color w:val="auto"/>
        </w:rPr>
      </w:pPr>
      <w:r>
        <w:rPr>
          <w:rFonts w:ascii="Times New Roman" w:cs="Times New Roman" w:eastAsia="Times New Roman" w:hAnsi="Times New Roman"/>
          <w:sz w:val="22"/>
          <w:szCs w:val="22"/>
          <w:color w:val="auto"/>
        </w:rPr>
        <w:t>You may accept this offer of employment and the terms and conditions thereof by signing the enclosed additional copy of this letter and the Related Agreement, which execution will evidence your agreement with the terms and conditions set forth herein and therein, and returning them to the Company.</w:t>
      </w:r>
    </w:p>
    <w:p>
      <w:pPr>
        <w:spacing w:after="0" w:line="20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Sincerely, SYNLOGIC, INC.</w:t>
      </w:r>
    </w:p>
    <w:p>
      <w:pPr>
        <w:spacing w:after="0" w:line="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By: /s/ Adam J.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-22860</wp:posOffset>
            </wp:positionV>
            <wp:extent cx="192024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4600"/>
        <w:spacing w:after="0" w:line="230" w:lineRule="auto"/>
        <w:rPr>
          <w:sz w:val="20"/>
          <w:szCs w:val="20"/>
          <w:color w:val="auto"/>
        </w:rPr>
      </w:pPr>
      <w:r>
        <w:rPr>
          <w:rFonts w:ascii="Times New Roman" w:cs="Times New Roman" w:eastAsia="Times New Roman" w:hAnsi="Times New Roman"/>
          <w:sz w:val="22"/>
          <w:szCs w:val="22"/>
          <w:color w:val="auto"/>
        </w:rPr>
        <w:t>Name: Adam J. Thomas</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Approved: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Mary Beth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92024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Mary Beth Dooley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4/11/2018</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96" w:name="page197"/>
    <w:bookmarkEnd w:id="196"/>
    <w:p>
      <w:pPr>
        <w:ind w:left="8240"/>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1371600" cy="514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8">
                      <a:extLst>
                        <a:ext uri="{28A0092B-C50C-407E-A947-70E740481C1C}"/>
                      </a:extLst>
                    </a:blip>
                    <a:srcRect/>
                    <a:stretch>
                      <a:fillRect/>
                    </a:stretch>
                  </pic:blipFill>
                  <pic:spPr bwMode="auto">
                    <a:xfrm>
                      <a:off x="0" y="0"/>
                      <a:ext cx="13716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Date: March 1, 2024</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Mary Beth Dooley</w:t>
      </w:r>
    </w:p>
    <w:p>
      <w:pPr>
        <w:spacing w:after="0" w:line="202"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Retention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Mary Beth:</w:t>
      </w:r>
    </w:p>
    <w:p>
      <w:pPr>
        <w:spacing w:after="0" w:line="2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In recognition of your value and expected contributions to Synlogic, Inc. (“the Company”) we are pleased to offer you the following Retention Bonus Agreement (the “Agreement”).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Retention Bonus Amount and Eligibility Conditions</w:t>
      </w:r>
    </w:p>
    <w:p>
      <w:pPr>
        <w:spacing w:after="0" w:line="20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0"/>
          <w:szCs w:val="20"/>
          <w:color w:val="auto"/>
        </w:rPr>
        <w:t>If you (a) remain employed by the Company and continue to provide services at a satisfactory level through June 30, 2024 (the “Termination Date”) and (b) meet the remaining conditions of this paragraph, then you will receive a Retention Bonus in the amount of 75% of your base salary for each month worked on a pro rata basis, paid as a lump sum within thirty (30) days of your Termination Date. If you terminate your employment for any reason prior to June 30, 2024 or the Company terminates your employment for cause, then you shall not be eligible for the Retention Bonus. This bonus will be subject to all federal, state, city or other tax withholdings.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Terms</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20"/>
          <w:szCs w:val="20"/>
          <w:color w:val="auto"/>
        </w:rPr>
        <w:t>Nothing in this letter supersedes or in any way modifies any existing agreement(s) between you and the Company including, without limitation, any separation agreement, agreements concerning inventions assignment, protection of confidential information or trade secrets, non-solicitation of customers, clients, business or employee. This Retention Bonus is not intended and shall not be deemed a “wage” under any federal or state wage-hour law.</w:t>
      </w:r>
    </w:p>
    <w:p>
      <w:pPr>
        <w:spacing w:after="0" w:line="17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0"/>
          <w:szCs w:val="20"/>
          <w:color w:val="auto"/>
        </w:rPr>
        <w:t>You acknowledge that payment of the Retention Bonus is not part of normal or expected compensation for purposes of calculating any severance, resignation, redundancy, end of service payments, bonuses, long-service awards, pension or retirement benefits, matching contributions or similar payments.</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validity, interpretation and performance of this Agreement shall, in all respects, be governed by the laws of the Commonwealth of Massachusetts. No provision of this Agreement may be modified, altered or amended, except in a writing signed by both you and an authorized Officer of the Company. The Company may assign or delegate this Agreement or any of its rights or obligations hereunder to a person or entity that is an affiliate of or successor to the Company.</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On behalf of Synlogic, I want to thank you in advance for your efforts in helping the Company. Please confirm your understanding and agreement to the terms and conditions of this Agreement by signing and returning the enclosed copy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p>
      <w:pPr>
        <w:ind w:left="4500"/>
        <w:spacing w:after="0"/>
        <w:rPr>
          <w:sz w:val="20"/>
          <w:szCs w:val="20"/>
          <w:color w:val="auto"/>
        </w:rPr>
      </w:pPr>
      <w:r>
        <w:rPr>
          <w:rFonts w:ascii="Arial" w:cs="Arial" w:eastAsia="Arial" w:hAnsi="Arial"/>
          <w:sz w:val="20"/>
          <w:szCs w:val="20"/>
          <w:color w:val="auto"/>
        </w:rPr>
        <w:t>Sincerely,</w:t>
      </w:r>
    </w:p>
    <w:p>
      <w:pPr>
        <w:spacing w:after="0" w:line="9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SYNLOGIC, INC.</w:t>
      </w:r>
    </w:p>
    <w:p>
      <w:pPr>
        <w:spacing w:after="0" w:line="9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18"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 Peter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3136900</wp:posOffset>
            </wp:positionH>
            <wp:positionV relativeFrom="paragraph">
              <wp:posOffset>-11430</wp:posOffset>
            </wp:positionV>
            <wp:extent cx="16751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0">
                      <a:extLst>
                        <a:ext uri="{28A0092B-C50C-407E-A947-70E740481C1C}"/>
                      </a:extLst>
                    </a:blip>
                    <a:srcRect/>
                    <a:stretch>
                      <a:fillRect/>
                    </a:stretch>
                  </pic:blipFill>
                  <pic:spPr bwMode="auto">
                    <a:xfrm>
                      <a:off x="0" y="0"/>
                      <a:ext cx="1675130" cy="8890"/>
                    </a:xfrm>
                    <a:prstGeom prst="rect">
                      <a:avLst/>
                    </a:prstGeom>
                    <a:noFill/>
                  </pic:spPr>
                </pic:pic>
              </a:graphicData>
            </a:graphic>
          </wp:anchor>
        </w:drawing>
      </w:r>
    </w:p>
    <w:p>
      <w:pPr>
        <w:spacing w:after="0" w:line="74" w:lineRule="exact"/>
        <w:rPr>
          <w:sz w:val="20"/>
          <w:szCs w:val="20"/>
          <w:color w:val="auto"/>
        </w:rPr>
      </w:pPr>
    </w:p>
    <w:p>
      <w:pPr>
        <w:jc w:val="right"/>
        <w:ind w:right="3079"/>
        <w:spacing w:after="0"/>
        <w:rPr>
          <w:sz w:val="20"/>
          <w:szCs w:val="20"/>
          <w:color w:val="auto"/>
        </w:rPr>
      </w:pPr>
      <w:r>
        <w:rPr>
          <w:rFonts w:ascii="Arial" w:cs="Arial" w:eastAsia="Arial" w:hAnsi="Arial"/>
          <w:sz w:val="20"/>
          <w:szCs w:val="20"/>
          <w:color w:val="auto"/>
        </w:rPr>
        <w:t>Name: Peter Barrett</w:t>
      </w:r>
    </w:p>
    <w:p>
      <w:pPr>
        <w:spacing w:after="0" w:line="94" w:lineRule="exact"/>
        <w:rPr>
          <w:sz w:val="20"/>
          <w:szCs w:val="20"/>
          <w:color w:val="auto"/>
        </w:rPr>
      </w:pPr>
    </w:p>
    <w:p>
      <w:pPr>
        <w:ind w:left="3520"/>
        <w:spacing w:after="0"/>
        <w:tabs>
          <w:tab w:leader="none" w:pos="41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Chair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Accepted and Approved: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 Mary Beth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67513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1">
                      <a:extLst>
                        <a:ext uri="{28A0092B-C50C-407E-A947-70E740481C1C}"/>
                      </a:extLst>
                    </a:blip>
                    <a:srcRect/>
                    <a:stretch>
                      <a:fillRect/>
                    </a:stretch>
                  </pic:blipFill>
                  <pic:spPr bwMode="auto">
                    <a:xfrm>
                      <a:off x="0" y="0"/>
                      <a:ext cx="167513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Name: Mary Beth Dooley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Date: 3/7/2024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1226820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-11430</wp:posOffset>
            </wp:positionV>
            <wp:extent cx="78168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3">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ectPr>
          <w:pgSz w:w="11900" w:h="16838" w:orient="portrait"/>
          <w:cols w:equalWidth="0" w:num="1">
            <w:col w:w="10139"/>
          </w:cols>
          <w:pgMar w:left="320" w:top="1414" w:right="1440"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0"/>
          <w:szCs w:val="20"/>
          <w:b w:val="1"/>
          <w:bCs w:val="1"/>
          <w:color w:val="auto"/>
        </w:rPr>
        <w:t>Exhibit 10.40</w:t>
      </w:r>
    </w:p>
    <w:p>
      <w:pPr>
        <w:spacing w:after="0" w:line="108" w:lineRule="exact"/>
        <w:rPr>
          <w:sz w:val="20"/>
          <w:szCs w:val="20"/>
          <w:color w:val="auto"/>
        </w:rPr>
      </w:pPr>
    </w:p>
    <w:p>
      <w:pPr>
        <w:ind w:right="2040" w:firstLine="8"/>
        <w:spacing w:after="0" w:line="256" w:lineRule="auto"/>
        <w:tabs>
          <w:tab w:leader="none" w:pos="478"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132715</wp:posOffset>
            </wp:positionV>
            <wp:extent cx="2254250" cy="6083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4">
                      <a:extLst>
                        <a:ext uri="{28A0092B-C50C-407E-A947-70E740481C1C}"/>
                      </a:extLst>
                    </a:blip>
                    <a:srcRect/>
                    <a:stretch>
                      <a:fillRect/>
                    </a:stretch>
                  </pic:blipFill>
                  <pic:spPr bwMode="auto">
                    <a:xfrm>
                      <a:off x="0" y="0"/>
                      <a:ext cx="2254250" cy="6083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432435</wp:posOffset>
            </wp:positionV>
            <wp:extent cx="1551305" cy="3086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5">
                      <a:extLst>
                        <a:ext uri="{28A0092B-C50C-407E-A947-70E740481C1C}"/>
                      </a:extLst>
                    </a:blip>
                    <a:srcRect/>
                    <a:stretch>
                      <a:fillRect/>
                    </a:stretch>
                  </pic:blipFill>
                  <pic:spPr bwMode="auto">
                    <a:xfrm>
                      <a:off x="0" y="0"/>
                      <a:ext cx="155130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To: </w:t>
      </w:r>
      <w:r>
        <w:rPr>
          <w:rFonts w:ascii="Times New Roman" w:cs="Times New Roman" w:eastAsia="Times New Roman" w:hAnsi="Times New Roman"/>
          <w:sz w:val="20"/>
          <w:szCs w:val="20"/>
          <w:color w:val="auto"/>
        </w:rPr>
        <w:t>Synlogic OperatingCompany, Inc. CR3 License Fee, SOW P-10558-01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From: </w:t>
      </w:r>
      <w:r>
        <w:rPr>
          <w:rFonts w:ascii="Times New Roman" w:cs="Times New Roman" w:eastAsia="Times New Roman" w:hAnsi="Times New Roman"/>
          <w:sz w:val="20"/>
          <w:szCs w:val="20"/>
          <w:color w:val="auto"/>
        </w:rPr>
        <w:t>Azzur Cleanrooms on Demand, Waltham</w:t>
      </w:r>
    </w:p>
    <w:p>
      <w:pPr>
        <w:spacing w:after="0"/>
        <w:rPr>
          <w:sz w:val="20"/>
          <w:szCs w:val="20"/>
          <w:color w:val="auto"/>
        </w:rPr>
      </w:pPr>
      <w:r>
        <w:rPr>
          <w:rFonts w:ascii="Times New Roman" w:cs="Times New Roman" w:eastAsia="Times New Roman" w:hAnsi="Times New Roman"/>
          <w:sz w:val="20"/>
          <w:szCs w:val="20"/>
          <w:b w:val="1"/>
          <w:bCs w:val="1"/>
          <w:color w:val="auto"/>
        </w:rPr>
        <w:t xml:space="preserve">Re: </w:t>
      </w:r>
      <w:r>
        <w:rPr>
          <w:rFonts w:ascii="Times New Roman" w:cs="Times New Roman" w:eastAsia="Times New Roman" w:hAnsi="Times New Roman"/>
          <w:sz w:val="20"/>
          <w:szCs w:val="20"/>
          <w:color w:val="auto"/>
        </w:rPr>
        <w:t>Addendum to Scope of Work for Cleanroom 3 Use, SOW P-10558-01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154305</wp:posOffset>
            </wp:positionV>
            <wp:extent cx="617220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pacing w:after="0" w:line="2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Synlogic Operating Company, Inc. (“Synlogic”) has notified Azzur Cleanrooms on Demand (“Azzur”) that it shall be exercising its First and Second Option to extend its use of Azzur facilities until December 31, 2024. The purpose of this addendum is to outline the 2024 License fee term for Synlogic Operating Company, Inc. and to confirm that the Addendum includes additional Ambient storage, Personnel hours and BSC sampling once a week. All other terms remain the same.</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Please refer to Table 1 for additional information</w:t>
      </w:r>
    </w:p>
    <w:p>
      <w:pPr>
        <w:spacing w:after="0" w:line="10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Table 1: License Fee 2024</w:t>
      </w:r>
    </w:p>
    <w:p>
      <w:pPr>
        <w:spacing w:after="0" w:line="12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2"/>
          <w:szCs w:val="22"/>
          <w:b w:val="1"/>
          <w:bCs w:val="1"/>
          <w:color w:val="auto"/>
        </w:rPr>
        <w:t>Table 1: 2024 License Fee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-159385</wp:posOffset>
            </wp:positionV>
            <wp:extent cx="6347460" cy="1930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7">
                      <a:extLst>
                        <a:ext uri="{28A0092B-C50C-407E-A947-70E740481C1C}"/>
                      </a:extLst>
                    </a:blip>
                    <a:srcRect/>
                    <a:stretch>
                      <a:fillRect/>
                    </a:stretch>
                  </pic:blipFill>
                  <pic:spPr bwMode="auto">
                    <a:xfrm>
                      <a:off x="0" y="0"/>
                      <a:ext cx="6347460" cy="193040"/>
                    </a:xfrm>
                    <a:prstGeom prst="rect">
                      <a:avLst/>
                    </a:prstGeom>
                    <a:noFill/>
                  </pic:spPr>
                </pic:pic>
              </a:graphicData>
            </a:graphic>
          </wp:anchor>
        </w:drawing>
      </w:r>
    </w:p>
    <w:p>
      <w:pPr>
        <w:spacing w:after="0" w:line="12" w:lineRule="exact"/>
        <w:rPr>
          <w:sz w:val="20"/>
          <w:szCs w:val="20"/>
          <w:color w:val="auto"/>
        </w:rPr>
      </w:pPr>
    </w:p>
    <w:tbl>
      <w:tblPr>
        <w:tblLayout w:type="fixed"/>
        <w:tblInd w:w="830" w:type="dxa"/>
        <w:tblCellMar>
          <w:top w:w="0" w:type="dxa"/>
          <w:left w:w="0" w:type="dxa"/>
          <w:bottom w:w="0" w:type="dxa"/>
          <w:right w:w="0" w:type="dxa"/>
        </w:tblCellMar>
      </w:tblPr>
      <w:tr>
        <w:trPr>
          <w:trHeight w:val="204"/>
        </w:trPr>
        <w:tc>
          <w:tcPr>
            <w:tcW w:w="4460" w:type="dxa"/>
            <w:vAlign w:val="bottom"/>
            <w:tcBorders>
              <w:top w:val="single" w:sz="8" w:color="auto"/>
              <w:left w:val="single" w:sz="8" w:color="auto"/>
              <w:right w:val="single" w:sz="8" w:color="auto"/>
            </w:tcBorders>
            <w:shd w:val="clear" w:color="auto" w:fill="D9E0F1"/>
          </w:tcPr>
          <w:p>
            <w:pPr>
              <w:spacing w:after="0"/>
              <w:rPr>
                <w:sz w:val="17"/>
                <w:szCs w:val="17"/>
                <w:color w:val="auto"/>
              </w:rPr>
            </w:pPr>
          </w:p>
        </w:tc>
        <w:tc>
          <w:tcPr>
            <w:tcW w:w="1100" w:type="dxa"/>
            <w:vAlign w:val="bottom"/>
            <w:tcBorders>
              <w:top w:val="single" w:sz="8" w:color="auto"/>
              <w:right w:val="single" w:sz="8" w:color="auto"/>
            </w:tcBorders>
            <w:shd w:val="clear" w:color="auto" w:fill="D9E0F1"/>
          </w:tcPr>
          <w:p>
            <w:pPr>
              <w:ind w:left="100"/>
              <w:spacing w:after="0" w:line="204" w:lineRule="exact"/>
              <w:rPr>
                <w:sz w:val="20"/>
                <w:szCs w:val="20"/>
                <w:color w:val="auto"/>
              </w:rPr>
            </w:pPr>
            <w:r>
              <w:rPr>
                <w:rFonts w:ascii="Times New Roman" w:cs="Times New Roman" w:eastAsia="Times New Roman" w:hAnsi="Times New Roman"/>
                <w:sz w:val="18"/>
                <w:szCs w:val="18"/>
                <w:b w:val="1"/>
                <w:bCs w:val="1"/>
                <w:color w:val="auto"/>
              </w:rPr>
              <w:t># of</w:t>
            </w:r>
          </w:p>
        </w:tc>
        <w:tc>
          <w:tcPr>
            <w:tcW w:w="2360" w:type="dxa"/>
            <w:vAlign w:val="bottom"/>
            <w:tcBorders>
              <w:top w:val="single" w:sz="8" w:color="auto"/>
              <w:right w:val="single" w:sz="8" w:color="auto"/>
            </w:tcBorders>
            <w:shd w:val="clear" w:color="auto" w:fill="D9E0F1"/>
          </w:tcPr>
          <w:p>
            <w:pPr>
              <w:spacing w:after="0"/>
              <w:rPr>
                <w:sz w:val="17"/>
                <w:szCs w:val="17"/>
                <w:color w:val="auto"/>
              </w:rPr>
            </w:pPr>
          </w:p>
        </w:tc>
        <w:tc>
          <w:tcPr>
            <w:tcW w:w="2080" w:type="dxa"/>
            <w:vAlign w:val="bottom"/>
            <w:tcBorders>
              <w:top w:val="single" w:sz="8" w:color="auto"/>
              <w:right w:val="single" w:sz="8" w:color="auto"/>
            </w:tcBorders>
            <w:shd w:val="clear" w:color="auto" w:fill="D9E0F1"/>
          </w:tcPr>
          <w:p>
            <w:pPr>
              <w:spacing w:after="0"/>
              <w:rPr>
                <w:sz w:val="17"/>
                <w:szCs w:val="17"/>
                <w:color w:val="auto"/>
              </w:rPr>
            </w:pPr>
          </w:p>
        </w:tc>
      </w:tr>
      <w:tr>
        <w:trPr>
          <w:trHeight w:val="216"/>
        </w:trPr>
        <w:tc>
          <w:tcPr>
            <w:tcW w:w="4460" w:type="dxa"/>
            <w:vAlign w:val="bottom"/>
            <w:tcBorders>
              <w:left w:val="single" w:sz="8" w:color="auto"/>
              <w:right w:val="single" w:sz="8" w:color="auto"/>
            </w:tcBorders>
            <w:shd w:val="clear" w:color="auto" w:fill="D9E0F1"/>
          </w:tcPr>
          <w:p>
            <w:pPr>
              <w:ind w:left="140"/>
              <w:spacing w:after="0"/>
              <w:rPr>
                <w:sz w:val="20"/>
                <w:szCs w:val="20"/>
                <w:color w:val="auto"/>
              </w:rPr>
            </w:pPr>
            <w:r>
              <w:rPr>
                <w:rFonts w:ascii="Times New Roman" w:cs="Times New Roman" w:eastAsia="Times New Roman" w:hAnsi="Times New Roman"/>
                <w:sz w:val="18"/>
                <w:szCs w:val="18"/>
                <w:b w:val="1"/>
                <w:bCs w:val="1"/>
                <w:color w:val="auto"/>
              </w:rPr>
              <w:t>Item Description</w:t>
            </w:r>
          </w:p>
        </w:tc>
        <w:tc>
          <w:tcPr>
            <w:tcW w:w="1100" w:type="dxa"/>
            <w:vAlign w:val="bottom"/>
            <w:tcBorders>
              <w:right w:val="single" w:sz="8" w:color="auto"/>
            </w:tcBorders>
            <w:shd w:val="clear" w:color="auto" w:fill="D9E0F1"/>
          </w:tcPr>
          <w:p>
            <w:pPr>
              <w:ind w:left="1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360" w:type="dxa"/>
            <w:vAlign w:val="bottom"/>
            <w:tcBorders>
              <w:right w:val="single" w:sz="8" w:color="auto"/>
            </w:tcBorders>
            <w:shd w:val="clear" w:color="auto" w:fill="D9E0F1"/>
          </w:tcPr>
          <w:p>
            <w:pPr>
              <w:jc w:val="center"/>
              <w:spacing w:after="0"/>
              <w:rPr>
                <w:sz w:val="20"/>
                <w:szCs w:val="20"/>
                <w:color w:val="auto"/>
              </w:rPr>
            </w:pPr>
            <w:r>
              <w:rPr>
                <w:rFonts w:ascii="Times New Roman" w:cs="Times New Roman" w:eastAsia="Times New Roman" w:hAnsi="Times New Roman"/>
                <w:sz w:val="18"/>
                <w:szCs w:val="18"/>
                <w:b w:val="1"/>
                <w:bCs w:val="1"/>
                <w:color w:val="auto"/>
              </w:rPr>
              <w:t>2024 Monthly Costs</w:t>
            </w:r>
          </w:p>
        </w:tc>
        <w:tc>
          <w:tcPr>
            <w:tcW w:w="2080" w:type="dxa"/>
            <w:vAlign w:val="bottom"/>
            <w:tcBorders>
              <w:right w:val="single" w:sz="8" w:color="auto"/>
            </w:tcBorders>
            <w:shd w:val="clear" w:color="auto" w:fill="D9E0F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Yearly Costs</w:t>
            </w:r>
          </w:p>
        </w:tc>
      </w:tr>
      <w:tr>
        <w:trPr>
          <w:trHeight w:val="284"/>
        </w:trPr>
        <w:tc>
          <w:tcPr>
            <w:tcW w:w="4460" w:type="dxa"/>
            <w:vAlign w:val="bottom"/>
            <w:tcBorders>
              <w:left w:val="single" w:sz="8" w:color="auto"/>
              <w:bottom w:val="single" w:sz="8" w:color="D9E0F1"/>
              <w:right w:val="single" w:sz="8" w:color="auto"/>
            </w:tcBorders>
            <w:shd w:val="clear" w:color="auto" w:fill="D9E0F1"/>
          </w:tcPr>
          <w:p>
            <w:pPr>
              <w:spacing w:after="0"/>
              <w:rPr>
                <w:sz w:val="24"/>
                <w:szCs w:val="24"/>
                <w:color w:val="auto"/>
              </w:rPr>
            </w:pPr>
          </w:p>
        </w:tc>
        <w:tc>
          <w:tcPr>
            <w:tcW w:w="1100" w:type="dxa"/>
            <w:vAlign w:val="bottom"/>
            <w:tcBorders>
              <w:bottom w:val="single" w:sz="8" w:color="D9E0F1"/>
              <w:right w:val="single" w:sz="8" w:color="auto"/>
            </w:tcBorders>
            <w:shd w:val="clear" w:color="auto" w:fill="D9E0F1"/>
          </w:tcPr>
          <w:p>
            <w:pPr>
              <w:ind w:left="10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360" w:type="dxa"/>
            <w:vAlign w:val="bottom"/>
            <w:tcBorders>
              <w:bottom w:val="single" w:sz="8" w:color="D9E0F1"/>
              <w:right w:val="single" w:sz="8" w:color="auto"/>
            </w:tcBorders>
            <w:shd w:val="clear" w:color="auto" w:fill="D9E0F1"/>
          </w:tcPr>
          <w:p>
            <w:pPr>
              <w:spacing w:after="0"/>
              <w:rPr>
                <w:sz w:val="24"/>
                <w:szCs w:val="24"/>
                <w:color w:val="auto"/>
              </w:rPr>
            </w:pPr>
          </w:p>
        </w:tc>
        <w:tc>
          <w:tcPr>
            <w:tcW w:w="2080" w:type="dxa"/>
            <w:vAlign w:val="bottom"/>
            <w:tcBorders>
              <w:bottom w:val="single" w:sz="8" w:color="D9E0F1"/>
              <w:right w:val="single" w:sz="8" w:color="auto"/>
            </w:tcBorders>
            <w:shd w:val="clear" w:color="auto" w:fill="D9E0F1"/>
          </w:tcPr>
          <w:p>
            <w:pPr>
              <w:spacing w:after="0"/>
              <w:rPr>
                <w:sz w:val="24"/>
                <w:szCs w:val="24"/>
                <w:color w:val="auto"/>
              </w:rPr>
            </w:pPr>
          </w:p>
        </w:tc>
      </w:tr>
      <w:tr>
        <w:trPr>
          <w:trHeight w:val="232"/>
        </w:trPr>
        <w:tc>
          <w:tcPr>
            <w:tcW w:w="44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7"/>
        </w:trPr>
        <w:tc>
          <w:tcPr>
            <w:tcW w:w="4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7"/>
        </w:trPr>
        <w:tc>
          <w:tcPr>
            <w:tcW w:w="4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6"/>
        </w:trPr>
        <w:tc>
          <w:tcPr>
            <w:tcW w:w="4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7"/>
        </w:trPr>
        <w:tc>
          <w:tcPr>
            <w:tcW w:w="4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6"/>
        </w:trPr>
        <w:tc>
          <w:tcPr>
            <w:tcW w:w="4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2"/>
        </w:trPr>
        <w:tc>
          <w:tcPr>
            <w:tcW w:w="44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25"/>
        </w:trPr>
        <w:tc>
          <w:tcPr>
            <w:tcW w:w="44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36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r>
      <w:tr>
        <w:trPr>
          <w:trHeight w:val="232"/>
        </w:trPr>
        <w:tc>
          <w:tcPr>
            <w:tcW w:w="4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6"/>
        </w:trPr>
        <w:tc>
          <w:tcPr>
            <w:tcW w:w="4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2"/>
        </w:trPr>
        <w:tc>
          <w:tcPr>
            <w:tcW w:w="44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8"/>
        </w:trPr>
        <w:tc>
          <w:tcPr>
            <w:tcW w:w="44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r>
      <w:tr>
        <w:trPr>
          <w:trHeight w:val="243"/>
        </w:trPr>
        <w:tc>
          <w:tcPr>
            <w:tcW w:w="4460" w:type="dxa"/>
            <w:vAlign w:val="bottom"/>
            <w:tcBorders>
              <w:left w:val="single" w:sz="8" w:color="auto"/>
              <w:bottom w:val="single" w:sz="8" w:color="auto"/>
              <w:right w:val="single" w:sz="8" w:color="D0CECE"/>
            </w:tcBorders>
            <w:shd w:val="clear" w:color="auto" w:fill="D0CECE"/>
          </w:tcPr>
          <w:p>
            <w:pPr>
              <w:ind w:left="40"/>
              <w:spacing w:after="0"/>
              <w:rPr>
                <w:sz w:val="20"/>
                <w:szCs w:val="20"/>
                <w:color w:val="auto"/>
              </w:rPr>
            </w:pPr>
            <w:r>
              <w:rPr>
                <w:rFonts w:ascii="Times New Roman" w:cs="Times New Roman" w:eastAsia="Times New Roman" w:hAnsi="Times New Roman"/>
                <w:sz w:val="18"/>
                <w:szCs w:val="18"/>
                <w:b w:val="1"/>
                <w:bCs w:val="1"/>
                <w:color w:val="auto"/>
              </w:rPr>
              <w:t>Total License Fee</w:t>
            </w:r>
          </w:p>
        </w:tc>
        <w:tc>
          <w:tcPr>
            <w:tcW w:w="1100" w:type="dxa"/>
            <w:vAlign w:val="bottom"/>
            <w:tcBorders>
              <w:bottom w:val="single" w:sz="8" w:color="auto"/>
              <w:right w:val="single" w:sz="8" w:color="auto"/>
            </w:tcBorders>
            <w:shd w:val="clear" w:color="auto" w:fill="D0CECE"/>
          </w:tcPr>
          <w:p>
            <w:pPr>
              <w:spacing w:after="0"/>
              <w:rPr>
                <w:sz w:val="21"/>
                <w:szCs w:val="21"/>
                <w:color w:val="auto"/>
              </w:rPr>
            </w:pPr>
          </w:p>
        </w:tc>
        <w:tc>
          <w:tcPr>
            <w:tcW w:w="236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840" w:type="dxa"/>
            <w:vAlign w:val="bottom"/>
            <w:tcBorders>
              <w:right w:val="single" w:sz="8" w:color="auto"/>
            </w:tcBorders>
          </w:tcPr>
          <w:p>
            <w:pPr>
              <w:spacing w:after="0"/>
              <w:rPr>
                <w:sz w:val="24"/>
                <w:szCs w:val="24"/>
                <w:color w:val="auto"/>
              </w:rPr>
            </w:pPr>
          </w:p>
        </w:tc>
        <w:tc>
          <w:tcPr>
            <w:tcW w:w="4420" w:type="dxa"/>
            <w:vAlign w:val="bottom"/>
            <w:tcBorders>
              <w:top w:val="single" w:sz="8" w:color="auto"/>
              <w:bottom w:val="single" w:sz="8" w:color="auto"/>
              <w:right w:val="single" w:sz="8" w:color="auto"/>
            </w:tcBorders>
            <w:shd w:val="clear" w:color="auto" w:fill="D0CECE"/>
          </w:tcPr>
          <w:p>
            <w:pPr>
              <w:ind w:left="140"/>
              <w:spacing w:after="0"/>
              <w:rPr>
                <w:sz w:val="20"/>
                <w:szCs w:val="20"/>
                <w:color w:val="auto"/>
              </w:rPr>
            </w:pPr>
            <w:r>
              <w:rPr>
                <w:rFonts w:ascii="Times New Roman" w:cs="Times New Roman" w:eastAsia="Times New Roman" w:hAnsi="Times New Roman"/>
                <w:sz w:val="22"/>
                <w:szCs w:val="22"/>
                <w:b w:val="1"/>
                <w:bCs w:val="1"/>
                <w:color w:val="auto"/>
              </w:rPr>
              <w:t>SOW Accepted by</w:t>
            </w:r>
          </w:p>
        </w:tc>
        <w:tc>
          <w:tcPr>
            <w:tcW w:w="3460" w:type="dxa"/>
            <w:vAlign w:val="bottom"/>
            <w:tcBorders>
              <w:top w:val="single" w:sz="8" w:color="auto"/>
              <w:bottom w:val="single" w:sz="8" w:color="auto"/>
              <w:right w:val="single" w:sz="8" w:color="auto"/>
            </w:tcBorders>
            <w:shd w:val="clear" w:color="auto" w:fill="D0CECE"/>
          </w:tcPr>
          <w:p>
            <w:pPr>
              <w:ind w:left="126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100" w:type="dxa"/>
            <w:vAlign w:val="bottom"/>
            <w:tcBorders>
              <w:top w:val="single" w:sz="8" w:color="auto"/>
              <w:bottom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420" w:type="dxa"/>
            <w:vAlign w:val="bottom"/>
          </w:tcPr>
          <w:p>
            <w:pPr>
              <w:spacing w:after="0"/>
              <w:rPr>
                <w:sz w:val="24"/>
                <w:szCs w:val="24"/>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20"/>
                <w:szCs w:val="20"/>
                <w:b w:val="1"/>
                <w:bCs w:val="1"/>
                <w:color w:val="auto"/>
              </w:rPr>
              <w:t>Azzur Cleanrooms On Demand</w:t>
            </w:r>
          </w:p>
        </w:tc>
        <w:tc>
          <w:tcPr>
            <w:tcW w:w="3460" w:type="dxa"/>
            <w:vAlign w:val="bottom"/>
            <w:tcBorders>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20"/>
                <w:szCs w:val="20"/>
                <w:color w:val="auto"/>
              </w:rPr>
              <w:t>/s/ Daniel Dernbach</w:t>
            </w:r>
          </w:p>
        </w:tc>
        <w:tc>
          <w:tcPr>
            <w:tcW w:w="210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12/8/2023</w:t>
            </w:r>
          </w:p>
        </w:tc>
        <w:tc>
          <w:tcPr>
            <w:tcW w:w="420" w:type="dxa"/>
            <w:vAlign w:val="bottom"/>
          </w:tcPr>
          <w:p>
            <w:pPr>
              <w:spacing w:after="0"/>
              <w:rPr>
                <w:sz w:val="16"/>
                <w:szCs w:val="16"/>
                <w:color w:val="auto"/>
              </w:rPr>
            </w:pPr>
          </w:p>
        </w:tc>
      </w:tr>
      <w:tr>
        <w:trPr>
          <w:trHeight w:val="233"/>
        </w:trPr>
        <w:tc>
          <w:tcPr>
            <w:tcW w:w="84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Dan Dernbach</w:t>
            </w:r>
          </w:p>
        </w:tc>
        <w:tc>
          <w:tcPr>
            <w:tcW w:w="346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230"/>
        </w:trPr>
        <w:tc>
          <w:tcPr>
            <w:tcW w:w="84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Vice president of Operations</w:t>
            </w:r>
          </w:p>
        </w:tc>
        <w:tc>
          <w:tcPr>
            <w:tcW w:w="346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62"/>
        </w:trPr>
        <w:tc>
          <w:tcPr>
            <w:tcW w:w="840" w:type="dxa"/>
            <w:vAlign w:val="bottom"/>
            <w:tcBorders>
              <w:right w:val="single" w:sz="8" w:color="auto"/>
            </w:tcBorders>
          </w:tcPr>
          <w:p>
            <w:pPr>
              <w:spacing w:after="0"/>
              <w:rPr>
                <w:sz w:val="22"/>
                <w:szCs w:val="22"/>
                <w:color w:val="auto"/>
              </w:rPr>
            </w:pPr>
          </w:p>
        </w:tc>
        <w:tc>
          <w:tcPr>
            <w:tcW w:w="4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Email: Daniel.dernbach@azzur.com</w:t>
            </w:r>
          </w:p>
        </w:tc>
        <w:tc>
          <w:tcPr>
            <w:tcW w:w="346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r>
      <w:tr>
        <w:trPr>
          <w:trHeight w:val="213"/>
        </w:trPr>
        <w:tc>
          <w:tcPr>
            <w:tcW w:w="84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120"/>
              <w:spacing w:after="0" w:line="213" w:lineRule="exact"/>
              <w:rPr>
                <w:sz w:val="20"/>
                <w:szCs w:val="20"/>
                <w:color w:val="auto"/>
              </w:rPr>
            </w:pPr>
            <w:r>
              <w:rPr>
                <w:rFonts w:ascii="Times New Roman" w:cs="Times New Roman" w:eastAsia="Times New Roman" w:hAnsi="Times New Roman"/>
                <w:sz w:val="20"/>
                <w:szCs w:val="20"/>
                <w:b w:val="1"/>
                <w:bCs w:val="1"/>
                <w:color w:val="auto"/>
              </w:rPr>
              <w:t>SynlogicOperating Company, Inc</w:t>
            </w:r>
          </w:p>
        </w:tc>
        <w:tc>
          <w:tcPr>
            <w:tcW w:w="34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/s/ Tony Awad</w:t>
            </w:r>
          </w:p>
        </w:tc>
        <w:tc>
          <w:tcPr>
            <w:tcW w:w="210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8"/>
              </w:rPr>
              <w:t>12/4/2023</w:t>
            </w:r>
          </w:p>
        </w:tc>
        <w:tc>
          <w:tcPr>
            <w:tcW w:w="420" w:type="dxa"/>
            <w:vAlign w:val="bottom"/>
          </w:tcPr>
          <w:p>
            <w:pPr>
              <w:spacing w:after="0"/>
              <w:rPr>
                <w:sz w:val="18"/>
                <w:szCs w:val="18"/>
                <w:color w:val="auto"/>
              </w:rPr>
            </w:pPr>
          </w:p>
        </w:tc>
      </w:tr>
      <w:tr>
        <w:trPr>
          <w:trHeight w:val="233"/>
        </w:trPr>
        <w:tc>
          <w:tcPr>
            <w:tcW w:w="84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Tony Awad, COO</w:t>
            </w:r>
          </w:p>
        </w:tc>
        <w:tc>
          <w:tcPr>
            <w:tcW w:w="346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262"/>
        </w:trPr>
        <w:tc>
          <w:tcPr>
            <w:tcW w:w="840" w:type="dxa"/>
            <w:vAlign w:val="bottom"/>
            <w:tcBorders>
              <w:right w:val="single" w:sz="8" w:color="auto"/>
            </w:tcBorders>
          </w:tcPr>
          <w:p>
            <w:pPr>
              <w:spacing w:after="0"/>
              <w:rPr>
                <w:sz w:val="22"/>
                <w:szCs w:val="22"/>
                <w:color w:val="auto"/>
              </w:rPr>
            </w:pPr>
          </w:p>
        </w:tc>
        <w:tc>
          <w:tcPr>
            <w:tcW w:w="4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Email: tony.awad@synlogictx.com</w:t>
            </w:r>
          </w:p>
        </w:tc>
        <w:tc>
          <w:tcPr>
            <w:tcW w:w="346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r>
      <w:tr>
        <w:trPr>
          <w:trHeight w:val="1557"/>
        </w:trPr>
        <w:tc>
          <w:tcPr>
            <w:tcW w:w="8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-865505</wp:posOffset>
            </wp:positionV>
            <wp:extent cx="1388745" cy="3340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0">
                      <a:extLst>
                        <a:ext uri="{28A0092B-C50C-407E-A947-70E740481C1C}"/>
                      </a:extLst>
                    </a:blip>
                    <a:srcRect/>
                    <a:stretch>
                      <a:fillRect/>
                    </a:stretch>
                  </pic:blipFill>
                  <pic:spPr bwMode="auto">
                    <a:xfrm>
                      <a:off x="0" y="0"/>
                      <a:ext cx="1388745" cy="33401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820" w:type="dxa"/>
            <w:vAlign w:val="bottom"/>
            <w:gridSpan w:val="3"/>
          </w:tcPr>
          <w:p>
            <w:pPr>
              <w:ind w:left="380"/>
              <w:spacing w:after="0"/>
              <w:rPr>
                <w:sz w:val="20"/>
                <w:szCs w:val="20"/>
                <w:color w:val="auto"/>
              </w:rPr>
            </w:pPr>
            <w:r>
              <w:rPr>
                <w:rFonts w:ascii="Times New Roman" w:cs="Times New Roman" w:eastAsia="Times New Roman" w:hAnsi="Times New Roman"/>
                <w:sz w:val="22"/>
                <w:szCs w:val="22"/>
                <w:b w:val="1"/>
                <w:bCs w:val="1"/>
                <w:color w:val="auto"/>
              </w:rPr>
              <w:t>SUBSIDIARIES OF SYNLOGIC, INC.</w:t>
            </w:r>
          </w:p>
        </w:tc>
      </w:tr>
      <w:tr>
        <w:trPr>
          <w:trHeight w:val="420"/>
        </w:trPr>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6"/>
              </w:rPr>
              <w:t>Subsidiary</w:t>
            </w:r>
          </w:p>
        </w:tc>
        <w:tc>
          <w:tcPr>
            <w:tcW w:w="2400" w:type="dxa"/>
            <w:vAlign w:val="bottom"/>
          </w:tcPr>
          <w:p>
            <w:pPr>
              <w:spacing w:after="0"/>
              <w:rPr>
                <w:sz w:val="24"/>
                <w:szCs w:val="24"/>
                <w:color w:val="auto"/>
              </w:rPr>
            </w:pPr>
          </w:p>
        </w:tc>
        <w:tc>
          <w:tcPr>
            <w:tcW w:w="7820" w:type="dxa"/>
            <w:vAlign w:val="bottom"/>
            <w:gridSpan w:val="3"/>
          </w:tcPr>
          <w:p>
            <w:pPr>
              <w:ind w:left="2220"/>
              <w:spacing w:after="0"/>
              <w:rPr>
                <w:sz w:val="20"/>
                <w:szCs w:val="20"/>
                <w:color w:val="auto"/>
              </w:rPr>
            </w:pPr>
            <w:r>
              <w:rPr>
                <w:rFonts w:ascii="Times New Roman" w:cs="Times New Roman" w:eastAsia="Times New Roman" w:hAnsi="Times New Roman"/>
                <w:sz w:val="22"/>
                <w:szCs w:val="22"/>
                <w:b w:val="1"/>
                <w:bCs w:val="1"/>
                <w:color w:val="auto"/>
              </w:rPr>
              <w:t>Jurisdiction</w:t>
            </w: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Synlogic Operating Company, Inc.</w:t>
            </w:r>
          </w:p>
        </w:tc>
        <w:tc>
          <w:tcPr>
            <w:tcW w:w="7820" w:type="dxa"/>
            <w:vAlign w:val="bottom"/>
            <w:gridSpan w:val="3"/>
          </w:tcPr>
          <w:p>
            <w:pPr>
              <w:ind w:left="222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Synlogic Securities Corporation</w:t>
            </w:r>
          </w:p>
        </w:tc>
        <w:tc>
          <w:tcPr>
            <w:tcW w:w="7820" w:type="dxa"/>
            <w:vAlign w:val="bottom"/>
            <w:gridSpan w:val="3"/>
          </w:tcPr>
          <w:p>
            <w:pPr>
              <w:ind w:left="2220"/>
              <w:spacing w:after="0"/>
              <w:rPr>
                <w:sz w:val="20"/>
                <w:szCs w:val="20"/>
                <w:color w:val="auto"/>
              </w:rPr>
            </w:pPr>
            <w:r>
              <w:rPr>
                <w:rFonts w:ascii="Times New Roman" w:cs="Times New Roman" w:eastAsia="Times New Roman" w:hAnsi="Times New Roman"/>
                <w:sz w:val="22"/>
                <w:szCs w:val="22"/>
                <w:color w:val="auto"/>
              </w:rPr>
              <w:t>Massachusetts</w:t>
            </w:r>
          </w:p>
        </w:tc>
      </w:tr>
      <w:tr>
        <w:trPr>
          <w:trHeight w:val="1898"/>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statements (Nos. 333-207299, 333-210466, 333-220841, 333-223798, 333-230224, 333-237104, 333-237105, 333-254688, 333-254689, 333-263629, 333-263630, 333-270925, and 333-270926) on Form S-8 and (Nos. 333-233139 and 333-258151) on Form S-3 of our report dated March 19, 2024, with respect to the consolidated financial statements of Synlogic,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1142365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1" w:name="page202"/>
    <w:bookmarkEnd w:id="20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Antoine Awad, certify that:</w:t>
      </w:r>
    </w:p>
    <w:p>
      <w:pPr>
        <w:spacing w:after="0" w:line="225" w:lineRule="exact"/>
        <w:rPr>
          <w:sz w:val="20"/>
          <w:szCs w:val="20"/>
          <w:color w:val="auto"/>
        </w:rPr>
      </w:pPr>
    </w:p>
    <w:p>
      <w:pPr>
        <w:ind w:left="980" w:hanging="223"/>
        <w:spacing w:after="0"/>
        <w:tabs>
          <w:tab w:leader="none" w:pos="9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Synlogic, Inc.;</w:t>
      </w:r>
    </w:p>
    <w:p>
      <w:pPr>
        <w:spacing w:after="0" w:line="225" w:lineRule="exact"/>
        <w:rPr>
          <w:rFonts w:ascii="Times New Roman" w:cs="Times New Roman" w:eastAsia="Times New Roman" w:hAnsi="Times New Roman"/>
          <w:sz w:val="18"/>
          <w:szCs w:val="18"/>
          <w:color w:val="auto"/>
        </w:rPr>
      </w:pPr>
    </w:p>
    <w:p>
      <w:pPr>
        <w:jc w:val="both"/>
        <w:ind w:firstLine="757"/>
        <w:spacing w:after="0" w:line="282" w:lineRule="auto"/>
        <w:tabs>
          <w:tab w:leader="none" w:pos="97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7" w:lineRule="exact"/>
        <w:rPr>
          <w:rFonts w:ascii="Times New Roman" w:cs="Times New Roman" w:eastAsia="Times New Roman" w:hAnsi="Times New Roman"/>
          <w:sz w:val="18"/>
          <w:szCs w:val="18"/>
          <w:color w:val="auto"/>
        </w:rPr>
      </w:pPr>
    </w:p>
    <w:p>
      <w:pPr>
        <w:ind w:right="20" w:firstLine="757"/>
        <w:spacing w:after="0" w:line="282" w:lineRule="auto"/>
        <w:tabs>
          <w:tab w:leader="none" w:pos="97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360" w:firstLine="757"/>
        <w:spacing w:after="0" w:line="261" w:lineRule="auto"/>
        <w:tabs>
          <w:tab w:leader="none" w:pos="97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ind w:right="80" w:firstLine="757"/>
        <w:spacing w:after="0" w:line="266" w:lineRule="auto"/>
        <w:tabs>
          <w:tab w:leader="none" w:pos="97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757"/>
        <w:spacing w:after="0" w:line="266" w:lineRule="auto"/>
        <w:tabs>
          <w:tab w:leader="none" w:pos="98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80" w:firstLine="757"/>
        <w:spacing w:after="0" w:line="282" w:lineRule="auto"/>
        <w:tabs>
          <w:tab w:leader="none" w:pos="97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00" w:firstLine="757"/>
        <w:spacing w:after="0" w:line="266" w:lineRule="auto"/>
        <w:tabs>
          <w:tab w:leader="none" w:pos="98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20" w:firstLine="757"/>
        <w:spacing w:after="0" w:line="312" w:lineRule="auto"/>
        <w:tabs>
          <w:tab w:leader="none" w:pos="974"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sz w:val="20"/>
          <w:szCs w:val="20"/>
          <w:color w:val="auto"/>
        </w:rPr>
      </w:pPr>
    </w:p>
    <w:p>
      <w:pPr>
        <w:ind w:right="820" w:firstLine="757"/>
        <w:spacing w:after="0" w:line="282" w:lineRule="auto"/>
        <w:tabs>
          <w:tab w:leader="none" w:pos="97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500" w:firstLine="757"/>
        <w:spacing w:after="0" w:line="282" w:lineRule="auto"/>
        <w:tabs>
          <w:tab w:leader="none" w:pos="98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19, 2024</w:t>
            </w:r>
          </w:p>
        </w:tc>
        <w:tc>
          <w:tcPr>
            <w:tcW w:w="22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ANTOINE AWAD</w:t>
            </w:r>
          </w:p>
        </w:tc>
      </w:tr>
      <w:tr>
        <w:trPr>
          <w:trHeight w:val="203"/>
        </w:trPr>
        <w:tc>
          <w:tcPr>
            <w:tcW w:w="3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Antoine Awad</w:t>
            </w:r>
          </w:p>
        </w:tc>
      </w:tr>
      <w:tr>
        <w:trPr>
          <w:trHeight w:val="216"/>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236"/>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208"/>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2" w:name="page203"/>
    <w:bookmarkEnd w:id="20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Beth Dooley, certify that:</w:t>
      </w:r>
    </w:p>
    <w:p>
      <w:pPr>
        <w:spacing w:after="0" w:line="225" w:lineRule="exact"/>
        <w:rPr>
          <w:sz w:val="20"/>
          <w:szCs w:val="20"/>
          <w:color w:val="auto"/>
        </w:rPr>
      </w:pPr>
    </w:p>
    <w:p>
      <w:pPr>
        <w:ind w:left="980" w:hanging="223"/>
        <w:spacing w:after="0"/>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Synlogic, Inc.;</w:t>
      </w:r>
    </w:p>
    <w:p>
      <w:pPr>
        <w:spacing w:after="0" w:line="225" w:lineRule="exact"/>
        <w:rPr>
          <w:rFonts w:ascii="Times New Roman" w:cs="Times New Roman" w:eastAsia="Times New Roman" w:hAnsi="Times New Roman"/>
          <w:sz w:val="18"/>
          <w:szCs w:val="18"/>
          <w:color w:val="auto"/>
        </w:rPr>
      </w:pPr>
    </w:p>
    <w:p>
      <w:pPr>
        <w:jc w:val="both"/>
        <w:ind w:firstLine="757"/>
        <w:spacing w:after="0" w:line="282" w:lineRule="auto"/>
        <w:tabs>
          <w:tab w:leader="none" w:pos="97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7" w:lineRule="exact"/>
        <w:rPr>
          <w:rFonts w:ascii="Times New Roman" w:cs="Times New Roman" w:eastAsia="Times New Roman" w:hAnsi="Times New Roman"/>
          <w:sz w:val="18"/>
          <w:szCs w:val="18"/>
          <w:color w:val="auto"/>
        </w:rPr>
      </w:pPr>
    </w:p>
    <w:p>
      <w:pPr>
        <w:ind w:right="20" w:firstLine="757"/>
        <w:spacing w:after="0" w:line="282" w:lineRule="auto"/>
        <w:tabs>
          <w:tab w:leader="none" w:pos="97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360" w:firstLine="757"/>
        <w:spacing w:after="0" w:line="261" w:lineRule="auto"/>
        <w:tabs>
          <w:tab w:leader="none" w:pos="97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ind w:right="80" w:firstLine="757"/>
        <w:spacing w:after="0" w:line="266" w:lineRule="auto"/>
        <w:tabs>
          <w:tab w:leader="none" w:pos="97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757"/>
        <w:spacing w:after="0" w:line="266" w:lineRule="auto"/>
        <w:tabs>
          <w:tab w:leader="none" w:pos="98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80" w:firstLine="757"/>
        <w:spacing w:after="0" w:line="282" w:lineRule="auto"/>
        <w:tabs>
          <w:tab w:leader="none" w:pos="97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00" w:firstLine="757"/>
        <w:spacing w:after="0" w:line="266" w:lineRule="auto"/>
        <w:tabs>
          <w:tab w:leader="none" w:pos="98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20" w:firstLine="757"/>
        <w:spacing w:after="0" w:line="312" w:lineRule="auto"/>
        <w:tabs>
          <w:tab w:leader="none" w:pos="974"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sz w:val="20"/>
          <w:szCs w:val="20"/>
          <w:color w:val="auto"/>
        </w:rPr>
      </w:pPr>
    </w:p>
    <w:p>
      <w:pPr>
        <w:ind w:right="820" w:firstLine="757"/>
        <w:spacing w:after="0" w:line="282" w:lineRule="auto"/>
        <w:tabs>
          <w:tab w:leader="none" w:pos="97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500" w:firstLine="757"/>
        <w:spacing w:after="0" w:line="282" w:lineRule="auto"/>
        <w:tabs>
          <w:tab w:leader="none" w:pos="9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19, 2024</w:t>
            </w:r>
          </w:p>
        </w:tc>
        <w:tc>
          <w:tcPr>
            <w:tcW w:w="22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BETH DOOLEY</w:t>
            </w:r>
          </w:p>
        </w:tc>
      </w:tr>
      <w:tr>
        <w:trPr>
          <w:trHeight w:val="203"/>
        </w:trPr>
        <w:tc>
          <w:tcPr>
            <w:tcW w:w="3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Mary Beth Dooley</w:t>
            </w:r>
          </w:p>
        </w:tc>
      </w:tr>
      <w:tr>
        <w:trPr>
          <w:trHeight w:val="216"/>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Head of Finance</w:t>
            </w:r>
          </w:p>
        </w:tc>
      </w:tr>
      <w:tr>
        <w:trPr>
          <w:trHeight w:val="236"/>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1208"/>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Synlogic, Inc. (the “Company”) on Form 10-K for the period ending December 31, 2023 as filed with the Securities and Exchange Commission on the date hereof (the “Report”), I, Antoine Awad, Principal Executive Officer of the Company,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2024</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ANTOINE AWAD</w:t>
            </w:r>
          </w:p>
        </w:tc>
      </w:tr>
      <w:tr>
        <w:trPr>
          <w:trHeight w:val="203"/>
        </w:trPr>
        <w:tc>
          <w:tcPr>
            <w:tcW w:w="3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Antoine Awad</w:t>
            </w:r>
          </w:p>
        </w:tc>
      </w:tr>
      <w:tr>
        <w:trPr>
          <w:trHeight w:val="216"/>
        </w:trPr>
        <w:tc>
          <w:tcPr>
            <w:tcW w:w="3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236"/>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211"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Synlogic, Inc. (the “Company”) on Form 10-K for the period ending December 31, 2023 as filed with the Securities and Exchange Commission on the date hereof (the “Report”), I, Mary Beth Dooley, Head of Finance,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2024</w:t>
            </w:r>
          </w:p>
        </w:tc>
        <w:tc>
          <w:tcPr>
            <w:tcW w:w="22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BETH DOOLEY</w:t>
            </w:r>
          </w:p>
        </w:tc>
      </w:tr>
      <w:tr>
        <w:trPr>
          <w:trHeight w:val="203"/>
        </w:trPr>
        <w:tc>
          <w:tcPr>
            <w:tcW w:w="3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Mary Beth Dooley</w:t>
            </w:r>
          </w:p>
        </w:tc>
      </w:tr>
      <w:tr>
        <w:trPr>
          <w:trHeight w:val="216"/>
        </w:trPr>
        <w:tc>
          <w:tcPr>
            <w:tcW w:w="3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Head of Finance</w:t>
            </w:r>
          </w:p>
        </w:tc>
      </w:tr>
      <w:tr>
        <w:trPr>
          <w:trHeight w:val="236"/>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bl>
    <w:p>
      <w:pPr>
        <w:spacing w:after="0" w:line="211"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5" w:name="page206"/>
    <w:bookmarkEnd w:id="2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1."/>
      <w:numFmt w:val="decimal"/>
      <w:start w:val="1"/>
    </w:lvl>
    <w:lvl w:ilvl="1">
      <w:lvlJc w:val="left"/>
      <w:lvlText w:val="•"/>
      <w:numFmt w:val="bullet"/>
      <w:start w:val="1"/>
    </w:lvl>
  </w:abstractNum>
  <w:abstractNum w:abstractNumId="6">
    <w:nsid w:val="100F59DC"/>
    <w:multiLevelType w:val="hybridMultilevel"/>
    <w:lvl w:ilvl="0">
      <w:lvlJc w:val="left"/>
      <w:lvlText w:val="%1."/>
      <w:numFmt w:val="decimal"/>
      <w:start w:val="1"/>
    </w:lvl>
  </w:abstractNum>
  <w:abstractNum w:abstractNumId="7">
    <w:nsid w:val="7FB7E0AA"/>
    <w:multiLevelType w:val="hybridMultilevel"/>
    <w:lvl w:ilvl="0">
      <w:lvlJc w:val="left"/>
      <w:lvlText w:val="%1."/>
      <w:numFmt w:val="decimal"/>
      <w:start w:val="3"/>
    </w:lvl>
    <w:lvl w:ilvl="1">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1)"/>
      <w:numFmt w:val="lowerLetter"/>
      <w:start w:val="2"/>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1)"/>
      <w:numFmt w:val="decimal"/>
      <w:start w:val="1"/>
    </w:lvl>
  </w:abstractNum>
  <w:abstractNum w:abstractNumId="52">
    <w:nsid w:val="1D545C4D"/>
    <w:multiLevelType w:val="hybridMultilevel"/>
    <w:lvl w:ilvl="0">
      <w:lvlJc w:val="left"/>
      <w:lvlText w:val="(%1)"/>
      <w:numFmt w:val="decimal"/>
      <w:start w:val="2"/>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1)"/>
      <w:numFmt w:val="lowerRoman"/>
      <w:start w:val="2"/>
    </w:lvl>
  </w:abstractNum>
  <w:abstractNum w:abstractNumId="55">
    <w:nsid w:val="2A155DBC"/>
    <w:multiLevelType w:val="hybridMultilevel"/>
    <w:lvl w:ilvl="0">
      <w:lvlJc w:val="left"/>
      <w:lvlText w:val="(%1)"/>
      <w:numFmt w:val="decimal"/>
      <w:start w:val="3"/>
    </w:lvl>
  </w:abstractNum>
  <w:abstractNum w:abstractNumId="56">
    <w:nsid w:val="1D9F6E5F"/>
    <w:multiLevelType w:val="hybridMultilevel"/>
    <w:lvl w:ilvl="0">
      <w:lvlJc w:val="left"/>
      <w:lvlText w:val="(%1)"/>
      <w:numFmt w:val="decimal"/>
      <w:start w:val="4"/>
    </w:lvl>
  </w:abstractNum>
  <w:abstractNum w:abstractNumId="57">
    <w:nsid w:val="97E1B4E"/>
    <w:multiLevelType w:val="hybridMultilevel"/>
    <w:lvl w:ilvl="0">
      <w:lvlJc w:val="left"/>
      <w:lvlText w:val="(%1)"/>
      <w:numFmt w:val="decimal"/>
      <w:start w:val="5"/>
    </w:lvl>
  </w:abstractNum>
  <w:abstractNum w:abstractNumId="58">
    <w:nsid w:val="51088277"/>
    <w:multiLevelType w:val="hybridMultilevel"/>
    <w:lvl w:ilvl="0">
      <w:lvlJc w:val="left"/>
      <w:lvlText w:val="(%1)"/>
      <w:numFmt w:val="decimal"/>
      <w:start w:val="6"/>
    </w:lvl>
  </w:abstractNum>
  <w:abstractNum w:abstractNumId="59">
    <w:nsid w:val="1CA0C5FA"/>
    <w:multiLevelType w:val="hybridMultilevel"/>
    <w:lvl w:ilvl="0">
      <w:lvlJc w:val="left"/>
      <w:lvlText w:val="(%1)"/>
      <w:numFmt w:val="decimal"/>
      <w:start w:val="7"/>
    </w:lvl>
  </w:abstractNum>
  <w:abstractNum w:abstractNumId="60">
    <w:nsid w:val="53584BCB"/>
    <w:multiLevelType w:val="hybridMultilevel"/>
    <w:lvl w:ilvl="0">
      <w:lvlJc w:val="left"/>
      <w:lvlText w:val="(%1)"/>
      <w:numFmt w:val="decimal"/>
      <w:start w:val="8"/>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1)"/>
      <w:numFmt w:val="decimal"/>
      <w:start w:val="9"/>
    </w:lvl>
  </w:abstractNum>
  <w:abstractNum w:abstractNumId="63">
    <w:nsid w:val="23D86AAC"/>
    <w:multiLevelType w:val="hybridMultilevel"/>
    <w:lvl w:ilvl="0">
      <w:lvlJc w:val="left"/>
      <w:lvlText w:val="(%1)"/>
      <w:numFmt w:val="lowerLetter"/>
      <w:start w:val="1"/>
    </w:lvl>
  </w:abstractNum>
  <w:abstractNum w:abstractNumId="64">
    <w:nsid w:val="45E6D486"/>
    <w:multiLevelType w:val="hybridMultilevel"/>
    <w:lvl w:ilvl="0">
      <w:lvlJc w:val="left"/>
      <w:lvlText w:val="(%1)"/>
      <w:numFmt w:val="decimal"/>
      <w:start w:val="10"/>
    </w:lvl>
  </w:abstractNum>
  <w:abstractNum w:abstractNumId="65">
    <w:nsid w:val="5C10FE21"/>
    <w:multiLevelType w:val="hybridMultilevel"/>
    <w:lvl w:ilvl="0">
      <w:lvlJc w:val="left"/>
      <w:lvlText w:val="(%1)"/>
      <w:numFmt w:val="decimal"/>
      <w:start w:val="11"/>
    </w:lvl>
  </w:abstractNum>
  <w:abstractNum w:abstractNumId="66">
    <w:nsid w:val="E7FFA2B"/>
    <w:multiLevelType w:val="hybridMultilevel"/>
    <w:lvl w:ilvl="0">
      <w:lvlJc w:val="left"/>
      <w:lvlText w:val="(%1)"/>
      <w:numFmt w:val="decimal"/>
      <w:start w:val="12"/>
    </w:lvl>
  </w:abstractNum>
  <w:abstractNum w:abstractNumId="67">
    <w:nsid w:val="3C5991AA"/>
    <w:multiLevelType w:val="hybridMultilevel"/>
    <w:lvl w:ilvl="0">
      <w:lvlJc w:val="left"/>
      <w:lvlText w:val="(%1)"/>
      <w:numFmt w:val="decimal"/>
      <w:start w:val="1"/>
    </w:lvl>
  </w:abstractNum>
  <w:abstractNum w:abstractNumId="68">
    <w:nsid w:val="4BD8591A"/>
    <w:multiLevelType w:val="hybridMultilevel"/>
    <w:lvl w:ilvl="0">
      <w:lvlJc w:val="left"/>
      <w:lvlText w:val="(%1)"/>
      <w:numFmt w:val="decimal"/>
      <w:start w:val="14"/>
    </w:lvl>
  </w:abstractNum>
  <w:abstractNum w:abstractNumId="69">
    <w:nsid w:val="78DF6A55"/>
    <w:multiLevelType w:val="hybridMultilevel"/>
    <w:lvl w:ilvl="0">
      <w:lvlJc w:val="left"/>
      <w:lvlText w:val="(%1)"/>
      <w:numFmt w:val="decimal"/>
      <w:start w:val="15"/>
    </w:lvl>
  </w:abstractNum>
  <w:abstractNum w:abstractNumId="70">
    <w:nsid w:val="39B7AAA2"/>
    <w:multiLevelType w:val="hybridMultilevel"/>
    <w:lvl w:ilvl="0">
      <w:lvlJc w:val="left"/>
      <w:lvlText w:val="(%1)"/>
      <w:numFmt w:val="decimal"/>
      <w:start w:val="16"/>
    </w:lvl>
  </w:abstractNum>
  <w:abstractNum w:abstractNumId="71">
    <w:nsid w:val="2B0D8DBE"/>
    <w:multiLevelType w:val="hybridMultilevel"/>
    <w:lvl w:ilvl="0">
      <w:lvlJc w:val="left"/>
      <w:lvlText w:val="(%1)"/>
      <w:numFmt w:val="decimal"/>
      <w:start w:val="17"/>
    </w:lvl>
  </w:abstractNum>
  <w:abstractNum w:abstractNumId="72">
    <w:nsid w:val="6C80EC70"/>
    <w:multiLevelType w:val="hybridMultilevel"/>
    <w:lvl w:ilvl="0">
      <w:lvlJc w:val="left"/>
      <w:lvlText w:val="(%1)"/>
      <w:numFmt w:val="decimal"/>
      <w:start w:val="18"/>
    </w:lvl>
  </w:abstractNum>
  <w:abstractNum w:abstractNumId="73">
    <w:nsid w:val="379E21B5"/>
    <w:multiLevelType w:val="hybridMultilevel"/>
    <w:lvl w:ilvl="0">
      <w:lvlJc w:val="left"/>
      <w:lvlText w:val="(%1)"/>
      <w:numFmt w:val="lowerLetter"/>
      <w:start w:val="1"/>
    </w:lvl>
  </w:abstractNum>
  <w:abstractNum w:abstractNumId="74">
    <w:nsid w:val="69E373"/>
    <w:multiLevelType w:val="hybridMultilevel"/>
    <w:lvl w:ilvl="0">
      <w:lvlJc w:val="left"/>
      <w:lvlText w:val="(%1)"/>
      <w:numFmt w:val="lowerLetter"/>
      <w:start w:val="3"/>
    </w:lvl>
    <w:lvl w:ilvl="1">
      <w:lvlJc w:val="left"/>
      <w:lvlText w:val="(%2)"/>
      <w:numFmt w:val="lowerRoman"/>
      <w:start w:val="1"/>
    </w:lvl>
  </w:abstractNum>
  <w:abstractNum w:abstractNumId="75">
    <w:nsid w:val="2C27173B"/>
    <w:multiLevelType w:val="hybridMultilevel"/>
    <w:lvl w:ilvl="0">
      <w:lvlJc w:val="left"/>
      <w:lvlText w:val="(%1)"/>
      <w:numFmt w:val="lowerLetter"/>
      <w:start w:val="1"/>
    </w:lvl>
  </w:abstractNum>
  <w:abstractNum w:abstractNumId="76">
    <w:nsid w:val="4C9B0904"/>
    <w:multiLevelType w:val="hybridMultilevel"/>
    <w:lvl w:ilvl="0">
      <w:lvlJc w:val="left"/>
      <w:lvlText w:val="(%1)"/>
      <w:numFmt w:val="upperLetter"/>
      <w:start w:val="35"/>
    </w:lvl>
  </w:abstractNum>
  <w:abstractNum w:abstractNumId="77">
    <w:nsid w:val="6AA7B75C"/>
    <w:multiLevelType w:val="hybridMultilevel"/>
    <w:lvl w:ilvl="0">
      <w:lvlJc w:val="left"/>
      <w:lvlText w:val="%1"/>
      <w:numFmt w:val="lowerLetter"/>
      <w:start w:val="1"/>
    </w:lvl>
    <w:lvl w:ilvl="1">
      <w:lvlJc w:val="left"/>
      <w:lvlText w:val="(%2)"/>
      <w:numFmt w:val="lowerLetter"/>
      <w:start w:val="1"/>
    </w:lvl>
  </w:abstractNum>
  <w:abstractNum w:abstractNumId="78">
    <w:nsid w:val="1DF029D3"/>
    <w:multiLevelType w:val="hybridMultilevel"/>
    <w:lvl w:ilvl="0">
      <w:lvlJc w:val="left"/>
      <w:lvlText w:val="(%1)"/>
      <w:numFmt w:val="lowerLetter"/>
      <w:start w:val="9"/>
    </w:lvl>
    <w:lvl w:ilvl="1">
      <w:lvlJc w:val="left"/>
      <w:lvlText w:val="%2"/>
      <w:numFmt w:val="lowerLetter"/>
      <w:start w:val="1"/>
    </w:lvl>
  </w:abstractNum>
  <w:abstractNum w:abstractNumId="79">
    <w:nsid w:val="5675FF36"/>
    <w:multiLevelType w:val="hybridMultilevel"/>
    <w:lvl w:ilvl="0">
      <w:lvlJc w:val="left"/>
      <w:lvlText w:val="(%1)"/>
      <w:numFmt w:val="lowerLetter"/>
      <w:start w:val="61"/>
    </w:lvl>
    <w:lvl w:ilvl="1">
      <w:lvlJc w:val="left"/>
      <w:lvlText w:val="%2"/>
      <w:numFmt w:val="lowerLetter"/>
      <w:start w:val="1"/>
    </w:lvl>
  </w:abstractNum>
  <w:abstractNum w:abstractNumId="80">
    <w:nsid w:val="3DD15094"/>
    <w:multiLevelType w:val="hybridMultilevel"/>
    <w:lvl w:ilvl="0">
      <w:lvlJc w:val="left"/>
      <w:lvlText w:val="(%1)"/>
      <w:numFmt w:val="lowerLetter"/>
      <w:start w:val="2"/>
    </w:lvl>
  </w:abstractNum>
  <w:abstractNum w:abstractNumId="81">
    <w:nsid w:val="3DB012B3"/>
    <w:multiLevelType w:val="hybridMultilevel"/>
    <w:lvl w:ilvl="0">
      <w:lvlJc w:val="left"/>
      <w:lvlText w:val="(%1)"/>
      <w:numFmt w:val="lowerLetter"/>
      <w:start w:val="1"/>
    </w:lvl>
  </w:abstractNum>
  <w:abstractNum w:abstractNumId="82">
    <w:nsid w:val="2708C9AF"/>
    <w:multiLevelType w:val="hybridMultilevel"/>
    <w:lvl w:ilvl="0">
      <w:lvlJc w:val="left"/>
      <w:lvlText w:val="(%1)"/>
      <w:numFmt w:val="lowerLetter"/>
      <w:start w:val="1"/>
    </w:lvl>
  </w:abstractNum>
  <w:abstractNum w:abstractNumId="83">
    <w:nsid w:val="5B25ACE2"/>
    <w:multiLevelType w:val="hybridMultilevel"/>
    <w:lvl w:ilvl="0">
      <w:lvlJc w:val="left"/>
      <w:lvlText w:val="(%1)"/>
      <w:numFmt w:val="lowerLetter"/>
      <w:start w:val="2"/>
    </w:lvl>
  </w:abstractNum>
  <w:abstractNum w:abstractNumId="84">
    <w:nsid w:val="175DFCF0"/>
    <w:multiLevelType w:val="hybridMultilevel"/>
    <w:lvl w:ilvl="0">
      <w:lvlJc w:val="left"/>
      <w:lvlText w:val="(%1)"/>
      <w:numFmt w:val="lowerLetter"/>
      <w:start w:val="1"/>
    </w:lvl>
  </w:abstractNum>
  <w:abstractNum w:abstractNumId="85">
    <w:nsid w:val="4F97E3E4"/>
    <w:multiLevelType w:val="hybridMultilevel"/>
    <w:lvl w:ilvl="0">
      <w:lvlJc w:val="left"/>
      <w:lvlText w:val="(%1)"/>
      <w:numFmt w:val="lowerLetter"/>
      <w:start w:val="4"/>
    </w:lvl>
  </w:abstractNum>
  <w:abstractNum w:abstractNumId="86">
    <w:nsid w:val="53B0A9E"/>
    <w:multiLevelType w:val="hybridMultilevel"/>
    <w:lvl w:ilvl="0">
      <w:lvlJc w:val="left"/>
      <w:lvlText w:val="(%1)"/>
      <w:numFmt w:val="lowerLetter"/>
      <w:start w:val="1"/>
    </w:lvl>
  </w:abstractNum>
  <w:abstractNum w:abstractNumId="87">
    <w:nsid w:val="34FD6B4F"/>
    <w:multiLevelType w:val="hybridMultilevel"/>
    <w:lvl w:ilvl="0">
      <w:lvlJc w:val="left"/>
      <w:lvlText w:val="(%1)"/>
      <w:numFmt w:val="lowerLetter"/>
      <w:start w:val="1"/>
    </w:lvl>
  </w:abstractNum>
  <w:abstractNum w:abstractNumId="88">
    <w:nsid w:val="5915FF32"/>
    <w:multiLevelType w:val="hybridMultilevel"/>
    <w:lvl w:ilvl="0">
      <w:lvlJc w:val="left"/>
      <w:lvlText w:val="(%1)"/>
      <w:numFmt w:val="lowerLetter"/>
      <w:start w:val="1"/>
    </w:lvl>
  </w:abstractNum>
  <w:abstractNum w:abstractNumId="89">
    <w:nsid w:val="56438D15"/>
    <w:multiLevelType w:val="hybridMultilevel"/>
    <w:lvl w:ilvl="0">
      <w:lvlJc w:val="left"/>
      <w:lvlText w:val="%1"/>
      <w:numFmt w:val="lowerLetter"/>
      <w:start w:val="1"/>
    </w:lvl>
    <w:lvl w:ilvl="1">
      <w:lvlJc w:val="left"/>
      <w:lvlText w:val="(%2)"/>
      <w:numFmt w:val="lowerLetter"/>
      <w:start w:val="1"/>
    </w:lvl>
  </w:abstractNum>
  <w:abstractNum w:abstractNumId="90">
    <w:nsid w:val="519E3149"/>
    <w:multiLevelType w:val="hybridMultilevel"/>
    <w:lvl w:ilvl="0">
      <w:lvlJc w:val="left"/>
      <w:lvlText w:val="(%1)"/>
      <w:numFmt w:val="lowerLetter"/>
      <w:start w:val="35"/>
    </w:lvl>
    <w:lvl w:ilvl="1">
      <w:lvlJc w:val="left"/>
      <w:lvlText w:val="%2"/>
      <w:numFmt w:val="lowerLetter"/>
      <w:start w:val="1"/>
    </w:lvl>
  </w:abstractNum>
  <w:abstractNum w:abstractNumId="91">
    <w:nsid w:val="2C6E4AFD"/>
    <w:multiLevelType w:val="hybridMultilevel"/>
    <w:lvl w:ilvl="0">
      <w:lvlJc w:val="left"/>
      <w:lvlText w:val="(%1)"/>
      <w:numFmt w:val="lowerLetter"/>
      <w:start w:val="1"/>
    </w:lvl>
  </w:abstractNum>
  <w:abstractNum w:abstractNumId="92">
    <w:nsid w:val="17A1B582"/>
    <w:multiLevelType w:val="hybridMultilevel"/>
    <w:lvl w:ilvl="0">
      <w:lvlJc w:val="left"/>
      <w:lvlText w:val="(%1)"/>
      <w:numFmt w:val="lowerLetter"/>
      <w:start w:val="1"/>
    </w:lvl>
  </w:abstractNum>
  <w:abstractNum w:abstractNumId="93">
    <w:nsid w:val="4DF72E4E"/>
    <w:multiLevelType w:val="hybridMultilevel"/>
    <w:lvl w:ilvl="0">
      <w:lvlJc w:val="left"/>
      <w:lvlText w:val="(%1)"/>
      <w:numFmt w:val="lowerLetter"/>
      <w:start w:val="1"/>
    </w:lvl>
    <w:lvl w:ilvl="1">
      <w:lvlJc w:val="left"/>
      <w:lvlText w:val="(%2)"/>
      <w:numFmt w:val="lowerRoman"/>
      <w:start w:val="1"/>
    </w:lvl>
  </w:abstractNum>
  <w:abstractNum w:abstractNumId="94">
    <w:nsid w:val="5046B5A9"/>
    <w:multiLevelType w:val="hybridMultilevel"/>
    <w:lvl w:ilvl="0">
      <w:lvlJc w:val="left"/>
      <w:lvlText w:val="(%1)"/>
      <w:numFmt w:val="lowerLetter"/>
      <w:start w:val="2"/>
    </w:lvl>
  </w:abstractNum>
  <w:abstractNum w:abstractNumId="95">
    <w:nsid w:val="5D888A08"/>
    <w:multiLevelType w:val="hybridMultilevel"/>
    <w:lvl w:ilvl="0">
      <w:lvlJc w:val="left"/>
      <w:lvlText w:val="(%1)"/>
      <w:numFmt w:val="lowerLetter"/>
      <w:start w:val="1"/>
    </w:lvl>
  </w:abstractNum>
  <w:abstractNum w:abstractNumId="96">
    <w:nsid w:val="2A082C70"/>
    <w:multiLevelType w:val="hybridMultilevel"/>
    <w:lvl w:ilvl="0">
      <w:lvlJc w:val="left"/>
      <w:lvlText w:val="(%1)"/>
      <w:numFmt w:val="lowerLetter"/>
      <w:start w:val="1"/>
    </w:lvl>
  </w:abstractNum>
  <w:abstractNum w:abstractNumId="97">
    <w:nsid w:val="5EC6AFD4"/>
    <w:multiLevelType w:val="hybridMultilevel"/>
    <w:lvl w:ilvl="0">
      <w:lvlJc w:val="left"/>
      <w:lvlText w:val="(%1)"/>
      <w:numFmt w:val="lowerLetter"/>
      <w:start w:val="2"/>
    </w:lvl>
  </w:abstractNum>
  <w:abstractNum w:abstractNumId="98">
    <w:nsid w:val="19E21BB2"/>
    <w:multiLevelType w:val="hybridMultilevel"/>
    <w:lvl w:ilvl="0">
      <w:lvlJc w:val="left"/>
      <w:lvlText w:val="(%1)"/>
      <w:numFmt w:val="lowerRoman"/>
      <w:start w:val="1"/>
    </w:lvl>
  </w:abstractNum>
  <w:abstractNum w:abstractNumId="99">
    <w:nsid w:val="75E0858A"/>
    <w:multiLevelType w:val="hybridMultilevel"/>
    <w:lvl w:ilvl="0">
      <w:lvlJc w:val="left"/>
      <w:lvlText w:val="(%1)"/>
      <w:numFmt w:val="lowerLetter"/>
      <w:start w:val="1"/>
    </w:lvl>
  </w:abstractNum>
  <w:abstractNum w:abstractNumId="100">
    <w:nsid w:val="57A61A29"/>
    <w:multiLevelType w:val="hybridMultilevel"/>
    <w:lvl w:ilvl="0">
      <w:lvlJc w:val="left"/>
      <w:lvlText w:val="(%1)"/>
      <w:numFmt w:val="lowerLetter"/>
      <w:start w:val="10"/>
    </w:lvl>
  </w:abstractNum>
  <w:abstractNum w:abstractNumId="101">
    <w:nsid w:val="5399C654"/>
    <w:multiLevelType w:val="hybridMultilevel"/>
    <w:lvl w:ilvl="0">
      <w:lvlJc w:val="left"/>
      <w:lvlText w:val="(%1)"/>
      <w:numFmt w:val="lowerLetter"/>
      <w:start w:val="1"/>
    </w:lvl>
  </w:abstractNum>
  <w:abstractNum w:abstractNumId="102">
    <w:nsid w:val="20EE1348"/>
    <w:multiLevelType w:val="hybridMultilevel"/>
    <w:lvl w:ilvl="0">
      <w:lvlJc w:val="left"/>
      <w:lvlText w:val="(%1)"/>
      <w:numFmt w:val="lowerRoman"/>
      <w:start w:val="1"/>
    </w:lvl>
  </w:abstractNum>
  <w:abstractNum w:abstractNumId="103">
    <w:nsid w:val="4427069A"/>
    <w:multiLevelType w:val="hybridMultilevel"/>
    <w:lvl w:ilvl="0">
      <w:lvlJc w:val="left"/>
      <w:lvlText w:val="%1"/>
      <w:numFmt w:val="lowerLetter"/>
      <w:start w:val="1"/>
    </w:lvl>
    <w:lvl w:ilvl="1">
      <w:lvlJc w:val="left"/>
      <w:lvlText w:val="(%2)"/>
      <w:numFmt w:val="lowerLetter"/>
      <w:start w:val="22"/>
    </w:lvl>
  </w:abstractNum>
  <w:abstractNum w:abstractNumId="104">
    <w:nsid w:val="B37E80A"/>
    <w:multiLevelType w:val="hybridMultilevel"/>
    <w:lvl w:ilvl="0">
      <w:lvlJc w:val="left"/>
      <w:lvlText w:val="(%1)"/>
      <w:numFmt w:val="lowerLetter"/>
      <w:start w:val="3"/>
    </w:lvl>
    <w:lvl w:ilvl="1">
      <w:lvlJc w:val="left"/>
      <w:lvlText w:val="(%2)"/>
      <w:numFmt w:val="lowerLetter"/>
      <w:start w:val="9"/>
    </w:lvl>
  </w:abstractNum>
  <w:abstractNum w:abstractNumId="105">
    <w:nsid w:val="2157F6BC"/>
    <w:multiLevelType w:val="hybridMultilevel"/>
    <w:lvl w:ilvl="0">
      <w:lvlJc w:val="left"/>
      <w:lvlText w:val="(%1)"/>
      <w:numFmt w:val="lowerRoman"/>
      <w:start w:val="2"/>
    </w:lvl>
  </w:abstractNum>
  <w:abstractNum w:abstractNumId="106">
    <w:nsid w:val="704E1DD5"/>
    <w:multiLevelType w:val="hybridMultilevel"/>
    <w:lvl w:ilvl="0">
      <w:lvlJc w:val="left"/>
      <w:lvlText w:val="(%1)"/>
      <w:numFmt w:val="lowerLetter"/>
      <w:start w:val="4"/>
    </w:lvl>
    <w:lvl w:ilvl="1">
      <w:lvlJc w:val="left"/>
      <w:lvlText w:val="(%2)"/>
      <w:numFmt w:val="lowerRoman"/>
      <w:start w:val="1"/>
    </w:lvl>
  </w:abstractNum>
  <w:abstractNum w:abstractNumId="107">
    <w:nsid w:val="57D2F10E"/>
    <w:multiLevelType w:val="hybridMultilevel"/>
    <w:lvl w:ilvl="0">
      <w:lvlJc w:val="left"/>
      <w:lvlText w:val="(%1)"/>
      <w:numFmt w:val="lowerLetter"/>
      <w:start w:val="5"/>
    </w:lvl>
  </w:abstractNum>
  <w:abstractNum w:abstractNumId="108">
    <w:nsid w:val="BFFAE18"/>
    <w:multiLevelType w:val="hybridMultilevel"/>
    <w:lvl w:ilvl="0">
      <w:lvlJc w:val="left"/>
      <w:lvlText w:val="(%1)"/>
      <w:numFmt w:val="lowerLetter"/>
      <w:start w:val="7"/>
    </w:lvl>
  </w:abstractNum>
  <w:abstractNum w:abstractNumId="109">
    <w:nsid w:val="E3E47A8"/>
    <w:multiLevelType w:val="hybridMultilevel"/>
    <w:lvl w:ilvl="0">
      <w:lvlJc w:val="left"/>
      <w:lvlText w:val="(%1)"/>
      <w:numFmt w:val="lowerLetter"/>
      <w:start w:val="1"/>
    </w:lvl>
  </w:abstractNum>
  <w:abstractNum w:abstractNumId="110">
    <w:nsid w:val="2E48F044"/>
    <w:multiLevelType w:val="hybridMultilevel"/>
    <w:lvl w:ilvl="0">
      <w:lvlJc w:val="left"/>
      <w:lvlText w:val="(%1)"/>
      <w:numFmt w:val="lowerLetter"/>
      <w:start w:val="1"/>
    </w:lvl>
  </w:abstractNum>
  <w:abstractNum w:abstractNumId="111">
    <w:nsid w:val="49D0FEAC"/>
    <w:multiLevelType w:val="hybridMultilevel"/>
    <w:lvl w:ilvl="0">
      <w:lvlJc w:val="left"/>
      <w:lvlText w:val="(%1)"/>
      <w:numFmt w:val="lowerLetter"/>
      <w:start w:val="1"/>
    </w:lvl>
  </w:abstractNum>
  <w:abstractNum w:abstractNumId="112">
    <w:nsid w:val="4BEE5A5B"/>
    <w:multiLevelType w:val="hybridMultilevel"/>
    <w:lvl w:ilvl="0">
      <w:lvlJc w:val="left"/>
      <w:lvlText w:val="(%1)"/>
      <w:numFmt w:val="lowerLetter"/>
      <w:start w:val="2"/>
    </w:lvl>
  </w:abstractNum>
  <w:abstractNum w:abstractNumId="113">
    <w:nsid w:val="5551B9F3"/>
    <w:multiLevelType w:val="hybridMultilevel"/>
    <w:lvl w:ilvl="0">
      <w:lvlJc w:val="left"/>
      <w:lvlText w:val="(%1)"/>
      <w:numFmt w:val="lowerLetter"/>
      <w:start w:val="1"/>
    </w:lvl>
  </w:abstractNum>
  <w:abstractNum w:abstractNumId="114">
    <w:nsid w:val="24F6AB8E"/>
    <w:multiLevelType w:val="hybridMultilevel"/>
    <w:lvl w:ilvl="0">
      <w:lvlJc w:val="left"/>
      <w:lvlText w:val="(%1)"/>
      <w:numFmt w:val="lowerLetter"/>
      <w:start w:val="3"/>
    </w:lvl>
  </w:abstractNum>
  <w:abstractNum w:abstractNumId="115">
    <w:nsid w:val="634C574C"/>
    <w:multiLevelType w:val="hybridMultilevel"/>
    <w:lvl w:ilvl="0">
      <w:lvlJc w:val="left"/>
      <w:lvlText w:val="(%1)"/>
      <w:numFmt w:val="lowerLetter"/>
      <w:start w:val="1"/>
    </w:lvl>
  </w:abstractNum>
  <w:abstractNum w:abstractNumId="116">
    <w:nsid w:val="24E99DD7"/>
    <w:multiLevelType w:val="hybridMultilevel"/>
    <w:lvl w:ilvl="0">
      <w:lvlJc w:val="left"/>
      <w:lvlText w:val="(%1)"/>
      <w:numFmt w:val="lowerLetter"/>
      <w:start w:val="2"/>
    </w:lvl>
  </w:abstractNum>
  <w:abstractNum w:abstractNumId="117">
    <w:nsid w:val="2A31B62D"/>
    <w:multiLevelType w:val="hybridMultilevel"/>
    <w:lvl w:ilvl="0">
      <w:lvlJc w:val="left"/>
      <w:lvlText w:val="(%1)"/>
      <w:numFmt w:val="lowerLetter"/>
      <w:start w:val="3"/>
    </w:lvl>
  </w:abstractNum>
  <w:abstractNum w:abstractNumId="118">
    <w:nsid w:val="1849C29B"/>
    <w:multiLevelType w:val="hybridMultilevel"/>
    <w:lvl w:ilvl="0">
      <w:lvlJc w:val="left"/>
      <w:lvlText w:val="(%1)"/>
      <w:numFmt w:val="lowerLetter"/>
      <w:start w:val="1"/>
    </w:lvl>
  </w:abstractNum>
  <w:abstractNum w:abstractNumId="119">
    <w:nsid w:val="7DFF9D09"/>
    <w:multiLevelType w:val="hybridMultilevel"/>
    <w:lvl w:ilvl="0">
      <w:lvlJc w:val="left"/>
      <w:lvlText w:val="(%1)"/>
      <w:numFmt w:val="lowerLetter"/>
      <w:start w:val="2"/>
    </w:lvl>
  </w:abstractNum>
  <w:abstractNum w:abstractNumId="120">
    <w:nsid w:val="754342"/>
    <w:multiLevelType w:val="hybridMultilevel"/>
    <w:lvl w:ilvl="0">
      <w:lvlJc w:val="left"/>
      <w:lvlText w:val="(%1)"/>
      <w:numFmt w:val="lowerLetter"/>
      <w:start w:val="1"/>
    </w:lvl>
  </w:abstractNum>
  <w:abstractNum w:abstractNumId="121">
    <w:nsid w:val="69E7F3E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22">
    <w:nsid w:val="2A6DE806"/>
    <w:multiLevelType w:val="hybridMultilevel"/>
    <w:lvl w:ilvl="0">
      <w:lvlJc w:val="left"/>
      <w:lvlText w:val="1"/>
      <w:numFmt w:val="bullet"/>
      <w:start w:val="1"/>
    </w:lvl>
  </w:abstractNum>
  <w:abstractNum w:abstractNumId="123">
    <w:nsid w:val="1816F8C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lowerLetter"/>
      <w:start w:val="2"/>
    </w:lvl>
  </w:abstractNum>
  <w:abstractNum w:abstractNumId="124">
    <w:nsid w:val="37DF2233"/>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lvl w:ilvl="3">
      <w:lvlJc w:val="left"/>
      <w:lvlText w:val="%4"/>
      <w:numFmt w:val="lowerLetter"/>
      <w:start w:val="1"/>
    </w:lvl>
  </w:abstractNum>
  <w:abstractNum w:abstractNumId="125">
    <w:nsid w:val="7AB49DAF"/>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126">
    <w:nsid w:val="759F82CD"/>
    <w:multiLevelType w:val="hybridMultilevel"/>
    <w:lvl w:ilvl="0">
      <w:lvlJc w:val="left"/>
      <w:lvlText w:val="%1"/>
      <w:numFmt w:val="decimal"/>
      <w:start w:val="1"/>
    </w:lvl>
    <w:lvl w:ilvl="1">
      <w:lvlJc w:val="left"/>
      <w:lvlText w:val="%2."/>
      <w:numFmt w:val="lowerRoman"/>
      <w:start w:val="5"/>
    </w:lvl>
  </w:abstractNum>
  <w:abstractNum w:abstractNumId="127">
    <w:nsid w:val="61E74EA3"/>
    <w:multiLevelType w:val="hybridMultilevel"/>
    <w:lvl w:ilvl="0">
      <w:lvlJc w:val="left"/>
      <w:lvlText w:val="%1."/>
      <w:numFmt w:val="decimal"/>
      <w:start w:val="6"/>
    </w:lvl>
    <w:lvl w:ilvl="1">
      <w:lvlJc w:val="left"/>
      <w:lvlText w:val="%2"/>
      <w:numFmt w:val="lowerRoman"/>
      <w:start w:val="1"/>
    </w:lvl>
  </w:abstractNum>
  <w:abstractNum w:abstractNumId="128">
    <w:nsid w:val="597B4D84"/>
    <w:multiLevelType w:val="hybridMultilevel"/>
    <w:lvl w:ilvl="0">
      <w:lvlJc w:val="left"/>
      <w:lvlText w:val="%1."/>
      <w:numFmt w:val="lowerRoman"/>
      <w:start w:val="1"/>
    </w:lvl>
  </w:abstractNum>
  <w:abstractNum w:abstractNumId="129">
    <w:nsid w:val="F819E7F"/>
    <w:multiLevelType w:val="hybridMultilevel"/>
    <w:lvl w:ilvl="0">
      <w:lvlJc w:val="left"/>
      <w:lvlText w:val="%1."/>
      <w:numFmt w:val="decimal"/>
      <w:start w:val="8"/>
    </w:lvl>
  </w:abstractNum>
  <w:abstractNum w:abstractNumId="130">
    <w:nsid w:val="57C7D42D"/>
    <w:multiLevelType w:val="hybridMultilevel"/>
    <w:lvl w:ilvl="0">
      <w:lvlJc w:val="left"/>
      <w:lvlText w:val="%1."/>
      <w:numFmt w:val="decimal"/>
      <w:start w:val="9"/>
    </w:lvl>
    <w:lvl w:ilvl="1">
      <w:lvlJc w:val="left"/>
      <w:lvlText w:val="%2."/>
      <w:numFmt w:val="lowerRoman"/>
      <w:start w:val="1"/>
    </w:lvl>
  </w:abstractNum>
  <w:abstractNum w:abstractNumId="131">
    <w:nsid w:val="312167AD"/>
    <w:multiLevelType w:val="hybridMultilevel"/>
    <w:lvl w:ilvl="0">
      <w:lvlJc w:val="left"/>
      <w:lvlText w:val="%1."/>
      <w:numFmt w:val="decimal"/>
      <w:start w:val="1"/>
    </w:lvl>
    <w:lvl w:ilvl="1">
      <w:lvlJc w:val="left"/>
      <w:lvlText w:val="%2."/>
      <w:numFmt w:val="lowerRoman"/>
      <w:start w:val="1"/>
    </w:lvl>
  </w:abstractNum>
  <w:abstractNum w:abstractNumId="132">
    <w:nsid w:val="631B64D4"/>
    <w:multiLevelType w:val="hybridMultilevel"/>
    <w:lvl w:ilvl="0">
      <w:lvlJc w:val="left"/>
      <w:lvlText w:val="1"/>
      <w:numFmt w:val="bullet"/>
      <w:start w:val="1"/>
    </w:lvl>
  </w:abstractNum>
  <w:abstractNum w:abstractNumId="133">
    <w:nsid w:val="78B5E776"/>
    <w:multiLevelType w:val="hybridMultilevel"/>
    <w:lvl w:ilvl="0">
      <w:lvlJc w:val="left"/>
      <w:lvlText w:val="%1."/>
      <w:numFmt w:val="decimal"/>
      <w:start w:val="4"/>
    </w:lvl>
    <w:lvl w:ilvl="1">
      <w:lvlJc w:val="left"/>
      <w:lvlText w:val="%2."/>
      <w:numFmt w:val="lowerRoman"/>
      <w:start w:val="1"/>
    </w:lvl>
  </w:abstractNum>
  <w:abstractNum w:abstractNumId="134">
    <w:nsid w:val="75486E47"/>
    <w:multiLevelType w:val="hybridMultilevel"/>
    <w:lvl w:ilvl="0">
      <w:lvlJc w:val="left"/>
      <w:lvlText w:val="%1"/>
      <w:numFmt w:val="decimal"/>
      <w:start w:val="1"/>
    </w:lvl>
    <w:lvl w:ilvl="1">
      <w:lvlJc w:val="left"/>
      <w:lvlText w:val="%2."/>
      <w:numFmt w:val="lowerRoman"/>
      <w:start w:val="5"/>
    </w:lvl>
  </w:abstractNum>
  <w:abstractNum w:abstractNumId="135">
    <w:nsid w:val="6E534CDE"/>
    <w:multiLevelType w:val="hybridMultilevel"/>
    <w:lvl w:ilvl="0">
      <w:lvlJc w:val="left"/>
      <w:lvlText w:val="%1."/>
      <w:numFmt w:val="decimal"/>
      <w:start w:val="6"/>
    </w:lvl>
    <w:lvl w:ilvl="1">
      <w:lvlJc w:val="left"/>
      <w:lvlText w:val="%2"/>
      <w:numFmt w:val="lowerRoman"/>
      <w:start w:val="1"/>
    </w:lvl>
  </w:abstractNum>
  <w:abstractNum w:abstractNumId="136">
    <w:nsid w:val="1A0DDE32"/>
    <w:multiLevelType w:val="hybridMultilevel"/>
    <w:lvl w:ilvl="0">
      <w:lvlJc w:val="left"/>
      <w:lvlText w:val="%1."/>
      <w:numFmt w:val="lowerRoman"/>
      <w:start w:val="1"/>
    </w:lvl>
  </w:abstractNum>
  <w:abstractNum w:abstractNumId="137">
    <w:nsid w:val="65968C1C"/>
    <w:multiLevelType w:val="hybridMultilevel"/>
    <w:lvl w:ilvl="0">
      <w:lvlJc w:val="left"/>
      <w:lvlText w:val="%1."/>
      <w:numFmt w:val="decimal"/>
      <w:start w:val="8"/>
    </w:lvl>
  </w:abstractNum>
  <w:abstractNum w:abstractNumId="138">
    <w:nsid w:val="46263DEC"/>
    <w:multiLevelType w:val="hybridMultilevel"/>
    <w:lvl w:ilvl="0">
      <w:lvlJc w:val="left"/>
      <w:lvlText w:val="%1."/>
      <w:numFmt w:val="decimal"/>
      <w:start w:val="9"/>
    </w:lvl>
  </w:abstractNum>
  <w:abstractNum w:abstractNumId="139">
    <w:nsid w:val="260D8C4A"/>
    <w:multiLevelType w:val="hybridMultilevel"/>
    <w:lvl w:ilvl="0">
      <w:lvlJc w:val="left"/>
      <w:lvlText w:val="%1."/>
      <w:numFmt w:val="decimal"/>
      <w:start w:val="11"/>
    </w:lvl>
    <w:lvl w:ilvl="1">
      <w:lvlJc w:val="left"/>
      <w:lvlText w:val="%2."/>
      <w:numFmt w:val="lowerRoman"/>
      <w:start w:val="1"/>
    </w:lvl>
  </w:abstractNum>
  <w:abstractNum w:abstractNumId="140">
    <w:nsid w:val="73D4D3C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41">
    <w:nsid w:val="746F2E30"/>
    <w:multiLevelType w:val="hybridMultilevel"/>
    <w:lvl w:ilvl="0">
      <w:lvlJc w:val="left"/>
      <w:lvlText w:val="1"/>
      <w:numFmt w:val="bullet"/>
      <w:start w:val="1"/>
    </w:lvl>
    <w:lvl w:ilvl="1">
      <w:lvlJc w:val="left"/>
      <w:lvlText w:val="%2."/>
      <w:numFmt w:val="lowerLetter"/>
      <w:start w:val="2"/>
    </w:lvl>
  </w:abstractNum>
  <w:abstractNum w:abstractNumId="142">
    <w:nsid w:val="6FDE8AF6"/>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decimal"/>
      <w:start w:val="30"/>
    </w:lvl>
  </w:abstractNum>
  <w:abstractNum w:abstractNumId="143">
    <w:nsid w:val="3FC32E20"/>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lvl w:ilvl="3">
      <w:lvlJc w:val="left"/>
      <w:lvlText w:val="%4"/>
      <w:numFmt w:val="decimal"/>
      <w:start w:val="1"/>
    </w:lvl>
  </w:abstractNum>
  <w:abstractNum w:abstractNumId="144">
    <w:nsid w:val="49C0E823"/>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145">
    <w:nsid w:val="14D53685"/>
    <w:multiLevelType w:val="hybridMultilevel"/>
    <w:lvl w:ilvl="0">
      <w:lvlJc w:val="left"/>
      <w:lvlText w:val="%1"/>
      <w:numFmt w:val="decimal"/>
      <w:start w:val="1"/>
    </w:lvl>
    <w:lvl w:ilvl="1">
      <w:lvlJc w:val="left"/>
      <w:lvlText w:val="%2."/>
      <w:numFmt w:val="lowerRoman"/>
      <w:start w:val="5"/>
    </w:lvl>
  </w:abstractNum>
  <w:abstractNum w:abstractNumId="146">
    <w:nsid w:val="230F856C"/>
    <w:multiLevelType w:val="hybridMultilevel"/>
    <w:lvl w:ilvl="0">
      <w:lvlJc w:val="left"/>
      <w:lvlText w:val="%1."/>
      <w:numFmt w:val="decimal"/>
      <w:start w:val="6"/>
    </w:lvl>
    <w:lvl w:ilvl="1">
      <w:lvlJc w:val="left"/>
      <w:lvlText w:val="%2"/>
      <w:numFmt w:val="lowerRoman"/>
      <w:start w:val="1"/>
    </w:lvl>
  </w:abstractNum>
  <w:abstractNum w:abstractNumId="147">
    <w:nsid w:val="6EAA85FB"/>
    <w:multiLevelType w:val="hybridMultilevel"/>
    <w:lvl w:ilvl="0">
      <w:lvlJc w:val="left"/>
      <w:lvlText w:val="%1."/>
      <w:numFmt w:val="lowerRoman"/>
      <w:start w:val="1"/>
    </w:lvl>
  </w:abstractNum>
  <w:abstractNum w:abstractNumId="148">
    <w:nsid w:val="3F06ECB2"/>
    <w:multiLevelType w:val="hybridMultilevel"/>
    <w:lvl w:ilvl="0">
      <w:lvlJc w:val="left"/>
      <w:lvlText w:val="%1."/>
      <w:numFmt w:val="decimal"/>
      <w:start w:val="8"/>
    </w:lvl>
  </w:abstractNum>
  <w:abstractNum w:abstractNumId="149">
    <w:nsid w:val="3B594807"/>
    <w:multiLevelType w:val="hybridMultilevel"/>
    <w:lvl w:ilvl="0">
      <w:lvlJc w:val="left"/>
      <w:lvlText w:val="%1."/>
      <w:numFmt w:val="decimal"/>
      <w:start w:val="9"/>
    </w:lvl>
    <w:lvl w:ilvl="1">
      <w:lvlJc w:val="left"/>
      <w:lvlText w:val="%2."/>
      <w:numFmt w:val="lowerRoman"/>
      <w:start w:val="1"/>
    </w:lvl>
  </w:abstractNum>
  <w:abstractNum w:abstractNumId="150">
    <w:nsid w:val="6CAA2304"/>
    <w:multiLevelType w:val="hybridMultilevel"/>
    <w:lvl w:ilvl="0">
      <w:lvlJc w:val="left"/>
      <w:lvlText w:val="[***]"/>
      <w:numFmt w:val="bullet"/>
      <w:start w:val="1"/>
    </w:lvl>
  </w:abstractNum>
  <w:abstractNum w:abstractNumId="151">
    <w:nsid w:val="3F7C2FF4"/>
    <w:multiLevelType w:val="hybridMultilevel"/>
    <w:lvl w:ilvl="0">
      <w:lvlJc w:val="left"/>
      <w:lvlText w:val="%1."/>
      <w:numFmt w:val="decimal"/>
      <w:start w:val="1"/>
    </w:lvl>
  </w:abstractNum>
  <w:abstractNum w:abstractNumId="152">
    <w:nsid w:val="25413BEC"/>
    <w:multiLevelType w:val="hybridMultilevel"/>
    <w:lvl w:ilvl="0">
      <w:lvlJc w:val="left"/>
      <w:lvlText w:val="%1)"/>
      <w:numFmt w:val="lowerLetter"/>
      <w:start w:val="1"/>
    </w:lvl>
  </w:abstractNum>
  <w:abstractNum w:abstractNumId="153">
    <w:nsid w:val="17180B0B"/>
    <w:multiLevelType w:val="hybridMultilevel"/>
    <w:lvl w:ilvl="0">
      <w:lvlJc w:val="left"/>
      <w:lvlText w:val="%1."/>
      <w:numFmt w:val="decimal"/>
      <w:start w:val="5"/>
    </w:lvl>
  </w:abstractNum>
  <w:abstractNum w:abstractNumId="154">
    <w:nsid w:val="579328B9"/>
    <w:multiLevelType w:val="hybridMultilevel"/>
    <w:lvl w:ilvl="0">
      <w:lvlJc w:val="left"/>
      <w:lvlText w:val="%1)"/>
      <w:numFmt w:val="lowerLetter"/>
      <w:start w:val="1"/>
    </w:lvl>
  </w:abstractNum>
  <w:abstractNum w:abstractNumId="155">
    <w:nsid w:val="5D205E20"/>
    <w:multiLevelType w:val="hybridMultilevel"/>
    <w:lvl w:ilvl="0">
      <w:lvlJc w:val="left"/>
      <w:lvlText w:val="%1."/>
      <w:numFmt w:val="decimal"/>
      <w:start w:val="1"/>
    </w:lvl>
  </w:abstractNum>
  <w:abstractNum w:abstractNumId="156">
    <w:nsid w:val="11CCA8BA"/>
    <w:multiLevelType w:val="hybridMultilevel"/>
    <w:lvl w:ilvl="0">
      <w:lvlJc w:val="left"/>
      <w:lvlText w:val="%1)"/>
      <w:numFmt w:val="lowerLetter"/>
      <w:start w:val="1"/>
    </w:lvl>
  </w:abstractNum>
  <w:abstractNum w:abstractNumId="157">
    <w:nsid w:val="4D32AB86"/>
    <w:multiLevelType w:val="hybridMultilevel"/>
    <w:lvl w:ilvl="0">
      <w:lvlJc w:val="left"/>
      <w:lvlText w:val="%1."/>
      <w:numFmt w:val="decimal"/>
      <w:start w:val="5"/>
    </w:lvl>
  </w:abstractNum>
  <w:abstractNum w:abstractNumId="158">
    <w:nsid w:val="3F07ACC3"/>
    <w:multiLevelType w:val="hybridMultilevel"/>
    <w:lvl w:ilvl="0">
      <w:lvlJc w:val="left"/>
      <w:lvlText w:val="%1)"/>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1"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256" Type="http://schemas.openxmlformats.org/officeDocument/2006/relationships/image" Target="media/image205.png"/><Relationship Id="rId257" Type="http://schemas.openxmlformats.org/officeDocument/2006/relationships/image" Target="media/image206.png"/><Relationship Id="rId258" Type="http://schemas.openxmlformats.org/officeDocument/2006/relationships/image" Target="media/image207.png"/><Relationship Id="rId259" Type="http://schemas.openxmlformats.org/officeDocument/2006/relationships/image" Target="media/image208.png"/><Relationship Id="rId260" Type="http://schemas.openxmlformats.org/officeDocument/2006/relationships/image" Target="media/image209.png"/><Relationship Id="rId261" Type="http://schemas.openxmlformats.org/officeDocument/2006/relationships/image" Target="media/image210.png"/><Relationship Id="rId262" Type="http://schemas.openxmlformats.org/officeDocument/2006/relationships/image" Target="media/image211.png"/><Relationship Id="rId263" Type="http://schemas.openxmlformats.org/officeDocument/2006/relationships/image" Target="media/image212.png"/><Relationship Id="rId264" Type="http://schemas.openxmlformats.org/officeDocument/2006/relationships/image" Target="media/image213.png"/><Relationship Id="rId265" Type="http://schemas.openxmlformats.org/officeDocument/2006/relationships/image" Target="media/image214.png"/><Relationship Id="rId266" Type="http://schemas.openxmlformats.org/officeDocument/2006/relationships/image" Target="media/image215.png"/><Relationship Id="rId267" Type="http://schemas.openxmlformats.org/officeDocument/2006/relationships/image" Target="media/image216.png"/><Relationship Id="rId268" Type="http://schemas.openxmlformats.org/officeDocument/2006/relationships/image" Target="media/image217.png"/><Relationship Id="rId269"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2" Type="http://schemas.openxmlformats.org/officeDocument/2006/relationships/image" Target="media/image221.png"/><Relationship Id="rId273" Type="http://schemas.openxmlformats.org/officeDocument/2006/relationships/image" Target="media/image222.png"/><Relationship Id="rId274" Type="http://schemas.openxmlformats.org/officeDocument/2006/relationships/image" Target="media/image223.png"/><Relationship Id="rId275" Type="http://schemas.openxmlformats.org/officeDocument/2006/relationships/image" Target="media/image224.png"/><Relationship Id="rId276" Type="http://schemas.openxmlformats.org/officeDocument/2006/relationships/image" Target="media/image225.png"/><Relationship Id="rId277" Type="http://schemas.openxmlformats.org/officeDocument/2006/relationships/image" Target="media/image226.png"/><Relationship Id="rId278" Type="http://schemas.openxmlformats.org/officeDocument/2006/relationships/image" Target="media/image227.png"/><Relationship Id="rId279" Type="http://schemas.openxmlformats.org/officeDocument/2006/relationships/image" Target="media/image228.png"/><Relationship Id="rId280" Type="http://schemas.openxmlformats.org/officeDocument/2006/relationships/image" Target="media/image229.png"/><Relationship Id="rId281" Type="http://schemas.openxmlformats.org/officeDocument/2006/relationships/image" Target="media/image230.png"/><Relationship Id="rId282" Type="http://schemas.openxmlformats.org/officeDocument/2006/relationships/image" Target="media/image231.png"/><Relationship Id="rId283" Type="http://schemas.openxmlformats.org/officeDocument/2006/relationships/image" Target="media/image232.png"/><Relationship Id="rId284" Type="http://schemas.openxmlformats.org/officeDocument/2006/relationships/image" Target="media/image233.png"/><Relationship Id="rId285" Type="http://schemas.openxmlformats.org/officeDocument/2006/relationships/image" Target="media/image234.png"/><Relationship Id="rId286" Type="http://schemas.openxmlformats.org/officeDocument/2006/relationships/image" Target="media/image235.png"/><Relationship Id="rId287" Type="http://schemas.openxmlformats.org/officeDocument/2006/relationships/image" Target="media/image236.png"/><Relationship Id="rId288" Type="http://schemas.openxmlformats.org/officeDocument/2006/relationships/image" Target="media/image237.png"/><Relationship Id="rId289" Type="http://schemas.openxmlformats.org/officeDocument/2006/relationships/image" Target="media/image238.png"/><Relationship Id="rId290" Type="http://schemas.openxmlformats.org/officeDocument/2006/relationships/image" Target="media/image239.png"/><Relationship Id="rId291" Type="http://schemas.openxmlformats.org/officeDocument/2006/relationships/image" Target="media/image240.png"/><Relationship Id="rId292" Type="http://schemas.openxmlformats.org/officeDocument/2006/relationships/image" Target="media/image241.png"/><Relationship Id="rId293" Type="http://schemas.openxmlformats.org/officeDocument/2006/relationships/image" Target="media/image242.png"/><Relationship Id="rId294" Type="http://schemas.openxmlformats.org/officeDocument/2006/relationships/image" Target="media/image243.png"/><Relationship Id="rId295" Type="http://schemas.openxmlformats.org/officeDocument/2006/relationships/image" Target="media/image244.png"/><Relationship Id="rId296" Type="http://schemas.openxmlformats.org/officeDocument/2006/relationships/image" Target="media/image245.png"/><Relationship Id="rId297" Type="http://schemas.openxmlformats.org/officeDocument/2006/relationships/image" Target="media/image246.png"/><Relationship Id="rId298" Type="http://schemas.openxmlformats.org/officeDocument/2006/relationships/image" Target="media/image247.png"/><Relationship Id="rId299" Type="http://schemas.openxmlformats.org/officeDocument/2006/relationships/image" Target="media/image248.png"/><Relationship Id="rId300" Type="http://schemas.openxmlformats.org/officeDocument/2006/relationships/image" Target="media/image249.png"/><Relationship Id="rId301" Type="http://schemas.openxmlformats.org/officeDocument/2006/relationships/image" Target="media/image250.png"/><Relationship Id="rId302" Type="http://schemas.openxmlformats.org/officeDocument/2006/relationships/image" Target="media/image251.png"/><Relationship Id="rId303" Type="http://schemas.openxmlformats.org/officeDocument/2006/relationships/image" Target="media/image252.png"/><Relationship Id="rId304" Type="http://schemas.openxmlformats.org/officeDocument/2006/relationships/image" Target="media/image253.png"/><Relationship Id="rId305" Type="http://schemas.openxmlformats.org/officeDocument/2006/relationships/image" Target="media/image254.png"/><Relationship Id="rId306" Type="http://schemas.openxmlformats.org/officeDocument/2006/relationships/image" Target="media/image255.png"/><Relationship Id="rId307" Type="http://schemas.openxmlformats.org/officeDocument/2006/relationships/image" Target="media/image256.png"/><Relationship Id="rId308" Type="http://schemas.openxmlformats.org/officeDocument/2006/relationships/image" Target="media/image257.png"/><Relationship Id="rId309" Type="http://schemas.openxmlformats.org/officeDocument/2006/relationships/image" Target="media/image258.png"/><Relationship Id="rId310" Type="http://schemas.openxmlformats.org/officeDocument/2006/relationships/image" Target="media/image259.png"/><Relationship Id="rId311" Type="http://schemas.openxmlformats.org/officeDocument/2006/relationships/image" Target="media/image260.png"/><Relationship Id="rId312" Type="http://schemas.openxmlformats.org/officeDocument/2006/relationships/image" Target="media/image261.png"/><Relationship Id="rId313" Type="http://schemas.openxmlformats.org/officeDocument/2006/relationships/image" Target="media/image262.png"/><Relationship Id="rId314" Type="http://schemas.openxmlformats.org/officeDocument/2006/relationships/image" Target="media/image263.png"/><Relationship Id="rId315" Type="http://schemas.openxmlformats.org/officeDocument/2006/relationships/image" Target="media/image264.png"/><Relationship Id="rId316" Type="http://schemas.openxmlformats.org/officeDocument/2006/relationships/image" Target="media/image265.png"/><Relationship Id="rId317" Type="http://schemas.openxmlformats.org/officeDocument/2006/relationships/image" Target="media/image266.png"/><Relationship Id="rId318" Type="http://schemas.openxmlformats.org/officeDocument/2006/relationships/image" Target="media/image267.png"/><Relationship Id="rId319" Type="http://schemas.openxmlformats.org/officeDocument/2006/relationships/image" Target="media/image268.png"/><Relationship Id="rId320" Type="http://schemas.openxmlformats.org/officeDocument/2006/relationships/image" Target="media/image269.png"/><Relationship Id="rId321" Type="http://schemas.openxmlformats.org/officeDocument/2006/relationships/image" Target="media/image270.png"/><Relationship Id="rId322" Type="http://schemas.openxmlformats.org/officeDocument/2006/relationships/image" Target="media/image271.png"/><Relationship Id="rId323" Type="http://schemas.openxmlformats.org/officeDocument/2006/relationships/image" Target="media/image272.png"/><Relationship Id="rId324" Type="http://schemas.openxmlformats.org/officeDocument/2006/relationships/image" Target="media/image273.png"/><Relationship Id="rId325" Type="http://schemas.openxmlformats.org/officeDocument/2006/relationships/image" Target="media/image274.png"/><Relationship Id="rId326" Type="http://schemas.openxmlformats.org/officeDocument/2006/relationships/image" Target="media/image275.png"/><Relationship Id="rId327" Type="http://schemas.openxmlformats.org/officeDocument/2006/relationships/image" Target="media/image276.png"/><Relationship Id="rId328" Type="http://schemas.openxmlformats.org/officeDocument/2006/relationships/image" Target="media/image277.png"/><Relationship Id="rId329" Type="http://schemas.openxmlformats.org/officeDocument/2006/relationships/image" Target="media/image278.png"/><Relationship Id="rId330" Type="http://schemas.openxmlformats.org/officeDocument/2006/relationships/image" Target="media/image279.png"/><Relationship Id="rId331" Type="http://schemas.openxmlformats.org/officeDocument/2006/relationships/image" Target="media/image280.png"/><Relationship Id="rId332" Type="http://schemas.openxmlformats.org/officeDocument/2006/relationships/image" Target="media/image281.png"/><Relationship Id="rId333" Type="http://schemas.openxmlformats.org/officeDocument/2006/relationships/image" Target="media/image282.png"/><Relationship Id="rId334" Type="http://schemas.openxmlformats.org/officeDocument/2006/relationships/image" Target="media/image283.png"/><Relationship Id="rId335" Type="http://schemas.openxmlformats.org/officeDocument/2006/relationships/image" Target="media/image284.png"/><Relationship Id="rId336" Type="http://schemas.openxmlformats.org/officeDocument/2006/relationships/image" Target="media/image285.png"/><Relationship Id="rId337" Type="http://schemas.openxmlformats.org/officeDocument/2006/relationships/image" Target="media/image286.png"/><Relationship Id="rId338" Type="http://schemas.openxmlformats.org/officeDocument/2006/relationships/image" Target="media/image287.png"/><Relationship Id="rId339" Type="http://schemas.openxmlformats.org/officeDocument/2006/relationships/image" Target="media/image288.png"/><Relationship Id="rId340" Type="http://schemas.openxmlformats.org/officeDocument/2006/relationships/image" Target="media/image289.png"/><Relationship Id="rId341" Type="http://schemas.openxmlformats.org/officeDocument/2006/relationships/image" Target="media/image290.png"/><Relationship Id="rId342" Type="http://schemas.openxmlformats.org/officeDocument/2006/relationships/image" Target="media/image291.png"/><Relationship Id="rId343" Type="http://schemas.openxmlformats.org/officeDocument/2006/relationships/image" Target="media/image292.png"/><Relationship Id="rId344" Type="http://schemas.openxmlformats.org/officeDocument/2006/relationships/image" Target="media/image293.png"/><Relationship Id="rId345" Type="http://schemas.openxmlformats.org/officeDocument/2006/relationships/image" Target="media/image294.png"/><Relationship Id="rId346" Type="http://schemas.openxmlformats.org/officeDocument/2006/relationships/image" Target="media/image295.png"/><Relationship Id="rId347" Type="http://schemas.openxmlformats.org/officeDocument/2006/relationships/image" Target="media/image296.png"/><Relationship Id="rId348" Type="http://schemas.openxmlformats.org/officeDocument/2006/relationships/image" Target="media/image297.png"/><Relationship Id="rId349" Type="http://schemas.openxmlformats.org/officeDocument/2006/relationships/image" Target="media/image298.png"/><Relationship Id="rId350" Type="http://schemas.openxmlformats.org/officeDocument/2006/relationships/image" Target="media/image299.png"/><Relationship Id="rId351" Type="http://schemas.openxmlformats.org/officeDocument/2006/relationships/image" Target="media/image300.png"/><Relationship Id="rId352" Type="http://schemas.openxmlformats.org/officeDocument/2006/relationships/image" Target="media/image301.png"/><Relationship Id="rId353" Type="http://schemas.openxmlformats.org/officeDocument/2006/relationships/image" Target="media/image302.png"/><Relationship Id="rId354" Type="http://schemas.openxmlformats.org/officeDocument/2006/relationships/image" Target="media/image303.png"/><Relationship Id="rId355" Type="http://schemas.openxmlformats.org/officeDocument/2006/relationships/image" Target="media/image304.png"/><Relationship Id="rId356"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61" Type="http://schemas.openxmlformats.org/officeDocument/2006/relationships/image" Target="media/image310.png"/><Relationship Id="rId362" Type="http://schemas.openxmlformats.org/officeDocument/2006/relationships/image" Target="media/image311.png"/><Relationship Id="rId363" Type="http://schemas.openxmlformats.org/officeDocument/2006/relationships/image" Target="media/image312.png"/><Relationship Id="rId364" Type="http://schemas.openxmlformats.org/officeDocument/2006/relationships/image" Target="media/image313.png"/><Relationship Id="rId365" Type="http://schemas.openxmlformats.org/officeDocument/2006/relationships/image" Target="media/image314.png"/><Relationship Id="rId366" Type="http://schemas.openxmlformats.org/officeDocument/2006/relationships/image" Target="media/image315.png"/><Relationship Id="rId367" Type="http://schemas.openxmlformats.org/officeDocument/2006/relationships/image" Target="media/image316.png"/><Relationship Id="rId368" Type="http://schemas.openxmlformats.org/officeDocument/2006/relationships/image" Target="media/image317.png"/><Relationship Id="rId369"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72" Type="http://schemas.openxmlformats.org/officeDocument/2006/relationships/image" Target="media/image321.png"/><Relationship Id="rId373" Type="http://schemas.openxmlformats.org/officeDocument/2006/relationships/image" Target="media/image322.png"/><Relationship Id="rId374" Type="http://schemas.openxmlformats.org/officeDocument/2006/relationships/image" Target="media/image323.png"/><Relationship Id="rId375" Type="http://schemas.openxmlformats.org/officeDocument/2006/relationships/image" Target="media/image324.png"/><Relationship Id="rId376" Type="http://schemas.openxmlformats.org/officeDocument/2006/relationships/image" Target="media/image325.png"/><Relationship Id="rId377" Type="http://schemas.openxmlformats.org/officeDocument/2006/relationships/image" Target="media/image326.png"/><Relationship Id="rId378" Type="http://schemas.openxmlformats.org/officeDocument/2006/relationships/image" Target="media/image327.png"/><Relationship Id="rId379" Type="http://schemas.openxmlformats.org/officeDocument/2006/relationships/image" Target="media/image328.png"/><Relationship Id="rId380" Type="http://schemas.openxmlformats.org/officeDocument/2006/relationships/image" Target="media/image329.png"/><Relationship Id="rId381" Type="http://schemas.openxmlformats.org/officeDocument/2006/relationships/image" Target="media/image330.png"/><Relationship Id="rId382" Type="http://schemas.openxmlformats.org/officeDocument/2006/relationships/image" Target="media/image331.png"/><Relationship Id="rId383" Type="http://schemas.openxmlformats.org/officeDocument/2006/relationships/image" Target="media/image332.png"/><Relationship Id="rId384" Type="http://schemas.openxmlformats.org/officeDocument/2006/relationships/image" Target="media/image333.png"/><Relationship Id="rId385" Type="http://schemas.openxmlformats.org/officeDocument/2006/relationships/image" Target="media/image334.png"/><Relationship Id="rId386" Type="http://schemas.openxmlformats.org/officeDocument/2006/relationships/image" Target="media/image335.png"/><Relationship Id="rId387" Type="http://schemas.openxmlformats.org/officeDocument/2006/relationships/image" Target="media/image336.png"/><Relationship Id="rId388" Type="http://schemas.openxmlformats.org/officeDocument/2006/relationships/image" Target="media/image337.png"/><Relationship Id="rId389" Type="http://schemas.openxmlformats.org/officeDocument/2006/relationships/image" Target="media/image338.png"/><Relationship Id="rId390" Type="http://schemas.openxmlformats.org/officeDocument/2006/relationships/image" Target="media/image339.png"/><Relationship Id="rId391" Type="http://schemas.openxmlformats.org/officeDocument/2006/relationships/image" Target="media/image340.png"/><Relationship Id="rId392" Type="http://schemas.openxmlformats.org/officeDocument/2006/relationships/image" Target="media/image341.png"/><Relationship Id="rId393" Type="http://schemas.openxmlformats.org/officeDocument/2006/relationships/image" Target="media/image342.png"/><Relationship Id="rId394" Type="http://schemas.openxmlformats.org/officeDocument/2006/relationships/image" Target="media/image343.png"/><Relationship Id="rId395" Type="http://schemas.openxmlformats.org/officeDocument/2006/relationships/image" Target="media/image344.png"/><Relationship Id="rId396" Type="http://schemas.openxmlformats.org/officeDocument/2006/relationships/image" Target="media/image345.png"/><Relationship Id="rId397" Type="http://schemas.openxmlformats.org/officeDocument/2006/relationships/image" Target="media/image346.png"/><Relationship Id="rId398" Type="http://schemas.openxmlformats.org/officeDocument/2006/relationships/image" Target="media/image347.png"/><Relationship Id="rId399" Type="http://schemas.openxmlformats.org/officeDocument/2006/relationships/image" Target="media/image348.png"/><Relationship Id="rId400" Type="http://schemas.openxmlformats.org/officeDocument/2006/relationships/image" Target="media/image349.png"/><Relationship Id="rId401" Type="http://schemas.openxmlformats.org/officeDocument/2006/relationships/image" Target="media/image350.png"/><Relationship Id="rId402" Type="http://schemas.openxmlformats.org/officeDocument/2006/relationships/image" Target="media/image351.png"/><Relationship Id="rId403" Type="http://schemas.openxmlformats.org/officeDocument/2006/relationships/image" Target="media/image352.png"/><Relationship Id="rId404" Type="http://schemas.openxmlformats.org/officeDocument/2006/relationships/image" Target="media/image353.png"/><Relationship Id="rId405" Type="http://schemas.openxmlformats.org/officeDocument/2006/relationships/image" Target="media/image354.png"/><Relationship Id="rId406" Type="http://schemas.openxmlformats.org/officeDocument/2006/relationships/image" Target="media/image355.png"/><Relationship Id="rId407" Type="http://schemas.openxmlformats.org/officeDocument/2006/relationships/image" Target="media/image356.png"/><Relationship Id="rId408" Type="http://schemas.openxmlformats.org/officeDocument/2006/relationships/image" Target="media/image357.png"/><Relationship Id="rId409" Type="http://schemas.openxmlformats.org/officeDocument/2006/relationships/image" Target="media/image358.png"/><Relationship Id="rId410" Type="http://schemas.openxmlformats.org/officeDocument/2006/relationships/image" Target="media/image359.png"/><Relationship Id="rId411" Type="http://schemas.openxmlformats.org/officeDocument/2006/relationships/image" Target="media/image360.png"/><Relationship Id="rId412" Type="http://schemas.openxmlformats.org/officeDocument/2006/relationships/image" Target="media/image361.png"/><Relationship Id="rId413" Type="http://schemas.openxmlformats.org/officeDocument/2006/relationships/image" Target="media/image362.png"/><Relationship Id="rId414" Type="http://schemas.openxmlformats.org/officeDocument/2006/relationships/image" Target="media/image363.png"/><Relationship Id="rId415" Type="http://schemas.openxmlformats.org/officeDocument/2006/relationships/image" Target="media/image364.png"/><Relationship Id="rId416" Type="http://schemas.openxmlformats.org/officeDocument/2006/relationships/image" Target="media/image365.png"/><Relationship Id="rId417" Type="http://schemas.openxmlformats.org/officeDocument/2006/relationships/image" Target="media/image366.png"/><Relationship Id="rId418" Type="http://schemas.openxmlformats.org/officeDocument/2006/relationships/image" Target="media/image367.png"/><Relationship Id="rId419" Type="http://schemas.openxmlformats.org/officeDocument/2006/relationships/image" Target="media/image368.png"/><Relationship Id="rId420" Type="http://schemas.openxmlformats.org/officeDocument/2006/relationships/image" Target="media/image369.png"/><Relationship Id="rId421" Type="http://schemas.openxmlformats.org/officeDocument/2006/relationships/image" Target="media/image370.png"/><Relationship Id="rId422" Type="http://schemas.openxmlformats.org/officeDocument/2006/relationships/image" Target="media/image371.png"/><Relationship Id="rId423" Type="http://schemas.openxmlformats.org/officeDocument/2006/relationships/image" Target="media/image372.png"/><Relationship Id="rId424" Type="http://schemas.openxmlformats.org/officeDocument/2006/relationships/image" Target="media/image373.png"/><Relationship Id="rId425" Type="http://schemas.openxmlformats.org/officeDocument/2006/relationships/image" Target="media/image374.png"/><Relationship Id="rId426" Type="http://schemas.openxmlformats.org/officeDocument/2006/relationships/image" Target="media/image375.png"/><Relationship Id="rId427" Type="http://schemas.openxmlformats.org/officeDocument/2006/relationships/image" Target="media/image376.png"/><Relationship Id="rId428" Type="http://schemas.openxmlformats.org/officeDocument/2006/relationships/image" Target="media/image377.png"/><Relationship Id="rId429" Type="http://schemas.openxmlformats.org/officeDocument/2006/relationships/image" Target="media/image378.png"/><Relationship Id="rId430" Type="http://schemas.openxmlformats.org/officeDocument/2006/relationships/image" Target="media/image379.png"/><Relationship Id="rId431" Type="http://schemas.openxmlformats.org/officeDocument/2006/relationships/image" Target="media/image380.png"/><Relationship Id="rId432" Type="http://schemas.openxmlformats.org/officeDocument/2006/relationships/image" Target="media/image381.png"/><Relationship Id="rId433" Type="http://schemas.openxmlformats.org/officeDocument/2006/relationships/image" Target="media/image382.png"/><Relationship Id="rId434" Type="http://schemas.openxmlformats.org/officeDocument/2006/relationships/image" Target="media/image383.png"/><Relationship Id="rId435" Type="http://schemas.openxmlformats.org/officeDocument/2006/relationships/image" Target="media/image384.png"/><Relationship Id="rId436" Type="http://schemas.openxmlformats.org/officeDocument/2006/relationships/image" Target="media/image385.png"/><Relationship Id="rId437" Type="http://schemas.openxmlformats.org/officeDocument/2006/relationships/image" Target="media/image386.png"/><Relationship Id="rId438" Type="http://schemas.openxmlformats.org/officeDocument/2006/relationships/image" Target="media/image387.png"/><Relationship Id="rId439" Type="http://schemas.openxmlformats.org/officeDocument/2006/relationships/image" Target="media/image388.png"/><Relationship Id="rId440" Type="http://schemas.openxmlformats.org/officeDocument/2006/relationships/image" Target="media/image389.png"/><Relationship Id="rId441" Type="http://schemas.openxmlformats.org/officeDocument/2006/relationships/image" Target="media/image390.png"/><Relationship Id="rId442" Type="http://schemas.openxmlformats.org/officeDocument/2006/relationships/image" Target="media/image391.png"/><Relationship Id="rId443" Type="http://schemas.openxmlformats.org/officeDocument/2006/relationships/image" Target="media/image392.png"/><Relationship Id="rId444" Type="http://schemas.openxmlformats.org/officeDocument/2006/relationships/image" Target="media/image393.jpeg"/><Relationship Id="rId445" Type="http://schemas.openxmlformats.org/officeDocument/2006/relationships/image" Target="media/image394.png"/><Relationship Id="rId446" Type="http://schemas.openxmlformats.org/officeDocument/2006/relationships/image" Target="media/image395.jpeg"/><Relationship Id="rId447" Type="http://schemas.openxmlformats.org/officeDocument/2006/relationships/image" Target="media/image396.png"/><Relationship Id="rId448" Type="http://schemas.openxmlformats.org/officeDocument/2006/relationships/image" Target="media/image397.jpeg"/><Relationship Id="rId449" Type="http://schemas.openxmlformats.org/officeDocument/2006/relationships/image" Target="media/image398.png"/><Relationship Id="rId450" Type="http://schemas.openxmlformats.org/officeDocument/2006/relationships/image" Target="media/image399.jpeg"/><Relationship Id="rId451" Type="http://schemas.openxmlformats.org/officeDocument/2006/relationships/image" Target="media/image400.png"/><Relationship Id="rId452" Type="http://schemas.openxmlformats.org/officeDocument/2006/relationships/image" Target="media/image401.jpeg"/><Relationship Id="rId453" Type="http://schemas.openxmlformats.org/officeDocument/2006/relationships/image" Target="media/image402.png"/><Relationship Id="rId454" Type="http://schemas.openxmlformats.org/officeDocument/2006/relationships/image" Target="media/image403.jpeg"/><Relationship Id="rId455" Type="http://schemas.openxmlformats.org/officeDocument/2006/relationships/image" Target="media/image404.png"/><Relationship Id="rId456" Type="http://schemas.openxmlformats.org/officeDocument/2006/relationships/image" Target="media/image405.png"/><Relationship Id="rId457" Type="http://schemas.openxmlformats.org/officeDocument/2006/relationships/image" Target="media/image406.png"/><Relationship Id="rId458" Type="http://schemas.openxmlformats.org/officeDocument/2006/relationships/image" Target="media/image407.png"/><Relationship Id="rId459" Type="http://schemas.openxmlformats.org/officeDocument/2006/relationships/image" Target="media/image408.png"/><Relationship Id="rId460" Type="http://schemas.openxmlformats.org/officeDocument/2006/relationships/image" Target="media/image409.png"/><Relationship Id="rId461" Type="http://schemas.openxmlformats.org/officeDocument/2006/relationships/image" Target="media/image410.png"/><Relationship Id="rId462" Type="http://schemas.openxmlformats.org/officeDocument/2006/relationships/image" Target="media/image411.png"/><Relationship Id="rId463" Type="http://schemas.openxmlformats.org/officeDocument/2006/relationships/image" Target="media/image412.png"/><Relationship Id="rId464" Type="http://schemas.openxmlformats.org/officeDocument/2006/relationships/image" Target="media/image413.jpeg"/><Relationship Id="rId465" Type="http://schemas.openxmlformats.org/officeDocument/2006/relationships/image" Target="media/image414.png"/><Relationship Id="rId466" Type="http://schemas.openxmlformats.org/officeDocument/2006/relationships/image" Target="media/image415.png"/><Relationship Id="rId467" Type="http://schemas.openxmlformats.org/officeDocument/2006/relationships/image" Target="media/image416.png"/><Relationship Id="rId468" Type="http://schemas.openxmlformats.org/officeDocument/2006/relationships/image" Target="media/image417.png"/><Relationship Id="rId469" Type="http://schemas.openxmlformats.org/officeDocument/2006/relationships/image" Target="media/image418.png"/><Relationship Id="rId470" Type="http://schemas.openxmlformats.org/officeDocument/2006/relationships/image" Target="media/image419.jpeg"/><Relationship Id="rId471" Type="http://schemas.openxmlformats.org/officeDocument/2006/relationships/image" Target="media/image420.png"/><Relationship Id="rId472" Type="http://schemas.openxmlformats.org/officeDocument/2006/relationships/image" Target="media/image421.png"/><Relationship Id="rId473" Type="http://schemas.openxmlformats.org/officeDocument/2006/relationships/image" Target="media/image422.png"/><Relationship Id="rId474" Type="http://schemas.openxmlformats.org/officeDocument/2006/relationships/image" Target="media/image423.png"/><Relationship Id="rId475" Type="http://schemas.openxmlformats.org/officeDocument/2006/relationships/image" Target="media/image424.png"/><Relationship Id="rId476" Type="http://schemas.openxmlformats.org/officeDocument/2006/relationships/image" Target="media/image425.png"/><Relationship Id="rId477" Type="http://schemas.openxmlformats.org/officeDocument/2006/relationships/image" Target="media/image426.png"/><Relationship Id="rId478" Type="http://schemas.openxmlformats.org/officeDocument/2006/relationships/image" Target="media/image427.jpeg"/><Relationship Id="rId479" Type="http://schemas.openxmlformats.org/officeDocument/2006/relationships/image" Target="media/image428.png"/><Relationship Id="rId480" Type="http://schemas.openxmlformats.org/officeDocument/2006/relationships/image" Target="media/image429.png"/><Relationship Id="rId481" Type="http://schemas.openxmlformats.org/officeDocument/2006/relationships/image" Target="media/image430.png"/><Relationship Id="rId482" Type="http://schemas.openxmlformats.org/officeDocument/2006/relationships/image" Target="media/image431.png"/><Relationship Id="rId483" Type="http://schemas.openxmlformats.org/officeDocument/2006/relationships/image" Target="media/image432.png"/><Relationship Id="rId484" Type="http://schemas.openxmlformats.org/officeDocument/2006/relationships/image" Target="media/image433.jpeg"/><Relationship Id="rId485" Type="http://schemas.openxmlformats.org/officeDocument/2006/relationships/image" Target="media/image434.jpeg"/><Relationship Id="rId486" Type="http://schemas.openxmlformats.org/officeDocument/2006/relationships/image" Target="media/image435.png"/><Relationship Id="rId487" Type="http://schemas.openxmlformats.org/officeDocument/2006/relationships/image" Target="media/image436.png"/><Relationship Id="rId488" Type="http://schemas.openxmlformats.org/officeDocument/2006/relationships/image" Target="media/image437.png"/><Relationship Id="rId489" Type="http://schemas.openxmlformats.org/officeDocument/2006/relationships/image" Target="media/image438.png"/><Relationship Id="rId490" Type="http://schemas.openxmlformats.org/officeDocument/2006/relationships/image" Target="media/image439.jpeg"/><Relationship Id="rId491" Type="http://schemas.openxmlformats.org/officeDocument/2006/relationships/image" Target="media/image440.png"/><Relationship Id="rId492" Type="http://schemas.openxmlformats.org/officeDocument/2006/relationships/image" Target="media/image441.png"/><Relationship Id="rId493" Type="http://schemas.openxmlformats.org/officeDocument/2006/relationships/image" Target="media/image442.png"/><Relationship Id="rId494" Type="http://schemas.openxmlformats.org/officeDocument/2006/relationships/image" Target="media/image443.png"/><Relationship Id="rId495" Type="http://schemas.openxmlformats.org/officeDocument/2006/relationships/image" Target="media/image444.png"/><Relationship Id="rId496" Type="http://schemas.openxmlformats.org/officeDocument/2006/relationships/image" Target="media/image445.png"/><Relationship Id="rId497" Type="http://schemas.openxmlformats.org/officeDocument/2006/relationships/image" Target="media/image446.png"/><Relationship Id="rId498" Type="http://schemas.openxmlformats.org/officeDocument/2006/relationships/image" Target="media/image447.png"/><Relationship Id="rId499" Type="http://schemas.openxmlformats.org/officeDocument/2006/relationships/image" Target="media/image448.png"/><Relationship Id="rId139" Type="http://schemas.openxmlformats.org/officeDocument/2006/relationships/hyperlink" Target="https://www.sec.gov/Archives/edgar/data/1527599/000110465917032941/a17-13113_1ex2d1.htm" TargetMode="External"/><Relationship Id="rId140" Type="http://schemas.openxmlformats.org/officeDocument/2006/relationships/hyperlink" Target="https://www.sec.gov/Archives/edgar/data/1527599/000110465915069368/a15-14644_8ex3d1.htm" TargetMode="External"/><Relationship Id="rId141" Type="http://schemas.openxmlformats.org/officeDocument/2006/relationships/hyperlink" Target="https://www.sec.gov/Archives/edgar/data/1527599/000119312517270395/d431294dex31.htm" TargetMode="External"/><Relationship Id="rId142" Type="http://schemas.openxmlformats.org/officeDocument/2006/relationships/hyperlink" Target="https://www.sec.gov/Archives/edgar/data/1527599/000119312517270395/d431294dex32.htm" TargetMode="External"/><Relationship Id="rId143" Type="http://schemas.openxmlformats.org/officeDocument/2006/relationships/hyperlink" Target="https://www.sec.gov/Archives/edgar/data/1527599/000119312523167885/d520938dex31.htm" TargetMode="External"/><Relationship Id="rId144" Type="http://schemas.openxmlformats.org/officeDocument/2006/relationships/hyperlink" Target="https://www.sec.gov/Archives/edgar/data/1527599/000119312523245646/d556575dex31.htm" TargetMode="External"/><Relationship Id="rId145" Type="http://schemas.openxmlformats.org/officeDocument/2006/relationships/hyperlink" Target="https://www.sec.gov/Archives/edgar/data/1527599/000110465915069368/a15-14644_8ex3d2.htm" TargetMode="External"/><Relationship Id="rId146" Type="http://schemas.openxmlformats.org/officeDocument/2006/relationships/hyperlink" Target="https://www.sec.gov/Archives/edgar/data/1527599/000119312524039969/d768289dex31.htm" TargetMode="External"/><Relationship Id="rId147" Type="http://schemas.openxmlformats.org/officeDocument/2006/relationships/hyperlink" Target="https://www.sec.gov/Archives/edgar/data/1527599/000104746915007386/a2226006zex-4_2.htm" TargetMode="External"/><Relationship Id="rId148" Type="http://schemas.openxmlformats.org/officeDocument/2006/relationships/hyperlink" Target="https://www.sec.gov/Archives/edgar/data/1527599/000119312519170721/d766098dex41.htm" TargetMode="External"/><Relationship Id="rId149" Type="http://schemas.openxmlformats.org/officeDocument/2006/relationships/hyperlink" Target="https://www.sec.gov/Archives/edgar/data/1527599/000119312523246542/d741024dex41.htm" TargetMode="External"/><Relationship Id="rId150" Type="http://schemas.openxmlformats.org/officeDocument/2006/relationships/hyperlink" Target="https://www.sec.gov/Archives/edgar/data/1527599/000119312523246542/d741024dex42.htm" TargetMode="External"/><Relationship Id="rId151" Type="http://schemas.openxmlformats.org/officeDocument/2006/relationships/hyperlink" Target="https://www.sec.gov/Archives/edgar/data/1527599/000156459020010261/sybx-ex43_732.htm" TargetMode="External"/><Relationship Id="rId154" Type="http://schemas.openxmlformats.org/officeDocument/2006/relationships/hyperlink" Target="https://www.sec.gov/Archives/edgar/data/1527599/000119312524039969/d768289dex41.htm" TargetMode="External"/><Relationship Id="rId155" Type="http://schemas.openxmlformats.org/officeDocument/2006/relationships/hyperlink" Target="https://www.sec.gov/Archives/edgar/data/1527599/000156459018006323/sybx-ex101_397.htm" TargetMode="External"/><Relationship Id="rId156" Type="http://schemas.openxmlformats.org/officeDocument/2006/relationships/hyperlink" Target="https://www.sec.gov/Archives/edgar/data/1527599/000104746915007251/a2225898zex-10_9b.htm" TargetMode="External"/><Relationship Id="rId157" Type="http://schemas.openxmlformats.org/officeDocument/2006/relationships/hyperlink" Target="https://www.sec.gov/Archives/edgar/data/1527599/000104746915007251/a2225898zex-10_9c.htm" TargetMode="External"/><Relationship Id="rId158" Type="http://schemas.openxmlformats.org/officeDocument/2006/relationships/hyperlink" Target="https://www.sec.gov/Archives/edgar/data/1527599/000156459018006323/sybx-ex104_396.htm" TargetMode="External"/><Relationship Id="rId159" Type="http://schemas.openxmlformats.org/officeDocument/2006/relationships/hyperlink" Target="https://www.sec.gov/Archives/edgar/data/1527599/000119312517340965/d458814dex1017.htm" TargetMode="External"/><Relationship Id="rId160" Type="http://schemas.openxmlformats.org/officeDocument/2006/relationships/hyperlink" Target="https://www.sec.gov/Archives/edgar/data/1527599/000156459018006323/sybx-ex106_235.htm" TargetMode="External"/><Relationship Id="rId161" Type="http://schemas.openxmlformats.org/officeDocument/2006/relationships/hyperlink" Target="https://www.sec.gov/Archives/edgar/data/1527599/000104746915007251/a2225898zex-10_13.htm" TargetMode="External"/><Relationship Id="rId162" Type="http://schemas.openxmlformats.org/officeDocument/2006/relationships/hyperlink" Target="https://www.sec.gov/Archives/edgar/data/1527599/000119312517270395/d431294dex106.htm" TargetMode="External"/><Relationship Id="rId163" Type="http://schemas.openxmlformats.org/officeDocument/2006/relationships/hyperlink" Target="https://www.sec.gov/Archives/edgar/data/1527599/000119312517270395/d431294dex107.htm" TargetMode="External"/><Relationship Id="rId164" Type="http://schemas.openxmlformats.org/officeDocument/2006/relationships/hyperlink" Target="https://www.sec.gov/Archives/edgar/data/1527599/000119312517270395/d431294dex108.htm" TargetMode="External"/><Relationship Id="rId165" Type="http://schemas.openxmlformats.org/officeDocument/2006/relationships/hyperlink" Target="https://www.sec.gov/Archives/edgar/data/1527599/000156459018020755/sybx-ex101_100.htm" TargetMode="External"/><Relationship Id="rId166" Type="http://schemas.openxmlformats.org/officeDocument/2006/relationships/hyperlink" Target="https://www.sec.gov/Archives/edgar/data/1527599/000156459018029326/sybx-ex101_305.htm" TargetMode="External"/><Relationship Id="rId167" Type="http://schemas.openxmlformats.org/officeDocument/2006/relationships/hyperlink" Target="https://www.sec.gov/Archives/edgar/data/1527599/000095017023073825/sybx-ex10_1.htm" TargetMode="External"/><Relationship Id="rId170" Type="http://schemas.openxmlformats.org/officeDocument/2006/relationships/hyperlink" Target="https://www.sec.gov/Archives/edgar/data/1527599/000119312522064445/d291506dex101.htm" TargetMode="External"/><Relationship Id="rId171" Type="http://schemas.openxmlformats.org/officeDocument/2006/relationships/hyperlink" Target="https://www.sec.gov/Archives/edgar/data/1527599/000156459021015256/sybx-ex10141_239.htm" TargetMode="External"/><Relationship Id="rId172" Type="http://schemas.openxmlformats.org/officeDocument/2006/relationships/hyperlink" Target="https://www.sec.gov/Archives/edgar/data/1527599/000156459021015256/sybx-ex10142_240.htm" TargetMode="External"/><Relationship Id="rId173" Type="http://schemas.openxmlformats.org/officeDocument/2006/relationships/hyperlink" Target="https://www.sec.gov/Archives/edgar/data/1527599/000095017023073825/sybx-ex10_2.htm" TargetMode="External"/><Relationship Id="rId174" Type="http://schemas.openxmlformats.org/officeDocument/2006/relationships/hyperlink" Target="https://www.sec.gov/Archives/edgar/data/1527599/000119312517270395/d431294dex1013.htm" TargetMode="External"/><Relationship Id="rId175" Type="http://schemas.openxmlformats.org/officeDocument/2006/relationships/hyperlink" Target="https://www.sec.gov/Archives/edgar/data/1527599/000119312517310897/d671201dex11.htm" TargetMode="External"/><Relationship Id="rId176" Type="http://schemas.openxmlformats.org/officeDocument/2006/relationships/hyperlink" Target="https://www.sec.gov/Archives/edgar/data/1527599/000156459019007367/sybx-ex1029_621.htm" TargetMode="External"/><Relationship Id="rId177" Type="http://schemas.openxmlformats.org/officeDocument/2006/relationships/hyperlink" Target="https://www.sec.gov/Archives/edgar/data/1527599/000156459019007367/sybx-ex1030_620.htm" TargetMode="External"/><Relationship Id="rId180" Type="http://schemas.openxmlformats.org/officeDocument/2006/relationships/hyperlink" Target="https://www.sec.gov/Archives/edgar/data/1527599/000119312519170721/d766098dex101.htm" TargetMode="External"/><Relationship Id="rId181" Type="http://schemas.openxmlformats.org/officeDocument/2006/relationships/hyperlink" Target="https://www.sec.gov/Archives/edgar/data/1527599/000156459019030838/sybx-ex102_134.htm" TargetMode="External"/><Relationship Id="rId182" Type="http://schemas.openxmlformats.org/officeDocument/2006/relationships/hyperlink" Target="https://www.sec.gov/Archives/edgar/data/1527599/000119312519321039/d853861dex101.htm" TargetMode="External"/><Relationship Id="rId183" Type="http://schemas.openxmlformats.org/officeDocument/2006/relationships/hyperlink" Target="https://www.sec.gov/Archives/edgar/data/1527599/000156459021043681/sybx-ex101_149.htm" TargetMode="External"/><Relationship Id="rId184" Type="http://schemas.openxmlformats.org/officeDocument/2006/relationships/hyperlink" Target="https://www.sec.gov/Archives/edgar/data/0001527599/000156459021043681/sybx-ex102_148.htm" TargetMode="External"/><Relationship Id="rId185" Type="http://schemas.openxmlformats.org/officeDocument/2006/relationships/hyperlink" Target="https://www.sec.gov/Archives/edgar/data/1527599/000095017023061493/sybx-ex10_1.htm" TargetMode="External"/><Relationship Id="rId186" Type="http://schemas.openxmlformats.org/officeDocument/2006/relationships/hyperlink" Target="https://www.sec.gov/Archives/edgar/data/1527599/000156459022010714/sybx-ex1030_463.htm" TargetMode="External"/><Relationship Id="rId187" Type="http://schemas.openxmlformats.org/officeDocument/2006/relationships/hyperlink" Target="https://www.sec.gov/Archives/edgar/data/1527599/000156459022010714/sybx-ex1031_464.htm" TargetMode="External"/><Relationship Id="rId188" Type="http://schemas.openxmlformats.org/officeDocument/2006/relationships/hyperlink" Target="https://www.sec.gov/Archives/edgar/data/1527599/000095017023010428/sybx-ex10_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2024-03-19T06:09:51Z</dcterms:created>
  <dcterms:modified xsi:type="dcterms:W3CDTF">2024-03-19T06:09:51Z</dcterms:modified>
</cp:coreProperties>
</file>