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141605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178435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89"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SYNLOGIC,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200" w:type="dxa"/>
            <w:vAlign w:val="bottom"/>
          </w:tcPr>
          <w:p>
            <w:pPr>
              <w:jc w:val="center"/>
              <w:ind w:right="1739"/>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right"/>
              <w:ind w:right="481"/>
              <w:spacing w:after="0"/>
              <w:rPr>
                <w:sz w:val="20"/>
                <w:szCs w:val="20"/>
                <w:color w:val="auto"/>
              </w:rPr>
            </w:pPr>
            <w:r>
              <w:rPr>
                <w:rFonts w:ascii="Arial" w:cs="Arial" w:eastAsia="Arial" w:hAnsi="Arial"/>
                <w:sz w:val="18"/>
                <w:szCs w:val="18"/>
                <w:b w:val="1"/>
                <w:bCs w:val="1"/>
                <w:color w:val="auto"/>
              </w:rPr>
              <w:t>26-1824804</w:t>
            </w:r>
          </w:p>
        </w:tc>
      </w:tr>
      <w:tr>
        <w:trPr>
          <w:trHeight w:val="149"/>
        </w:trPr>
        <w:tc>
          <w:tcPr>
            <w:tcW w:w="4200" w:type="dxa"/>
            <w:vAlign w:val="bottom"/>
          </w:tcPr>
          <w:p>
            <w:pPr>
              <w:jc w:val="center"/>
              <w:ind w:right="173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80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00" w:type="dxa"/>
            <w:vAlign w:val="bottom"/>
          </w:tcPr>
          <w:p>
            <w:pPr>
              <w:jc w:val="center"/>
              <w:ind w:right="1739"/>
              <w:spacing w:after="0"/>
              <w:rPr>
                <w:sz w:val="20"/>
                <w:szCs w:val="20"/>
                <w:color w:val="auto"/>
              </w:rPr>
            </w:pPr>
            <w:r>
              <w:rPr>
                <w:rFonts w:ascii="Arial" w:cs="Arial" w:eastAsia="Arial" w:hAnsi="Arial"/>
                <w:sz w:val="14"/>
                <w:szCs w:val="14"/>
                <w:b w:val="1"/>
                <w:bCs w:val="1"/>
                <w:color w:val="auto"/>
                <w:w w:val="93"/>
              </w:rPr>
              <w:t>incorporation or organization)</w:t>
            </w:r>
          </w:p>
        </w:tc>
        <w:tc>
          <w:tcPr>
            <w:tcW w:w="3800" w:type="dxa"/>
            <w:vAlign w:val="bottom"/>
          </w:tcPr>
          <w:p>
            <w:pPr>
              <w:jc w:val="center"/>
              <w:ind w:left="172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4200" w:type="dxa"/>
            <w:vAlign w:val="bottom"/>
          </w:tcPr>
          <w:p>
            <w:pPr>
              <w:jc w:val="center"/>
              <w:ind w:right="1739"/>
              <w:spacing w:after="0"/>
              <w:rPr>
                <w:sz w:val="20"/>
                <w:szCs w:val="20"/>
                <w:color w:val="auto"/>
              </w:rPr>
            </w:pPr>
            <w:r>
              <w:rPr>
                <w:rFonts w:ascii="Arial" w:cs="Arial" w:eastAsia="Arial" w:hAnsi="Arial"/>
                <w:sz w:val="18"/>
                <w:szCs w:val="18"/>
                <w:b w:val="1"/>
                <w:bCs w:val="1"/>
                <w:color w:val="auto"/>
                <w:w w:val="89"/>
              </w:rPr>
              <w:t>301 Binney St., Suite 402</w:t>
            </w:r>
          </w:p>
        </w:tc>
        <w:tc>
          <w:tcPr>
            <w:tcW w:w="3800" w:type="dxa"/>
            <w:vAlign w:val="bottom"/>
          </w:tcPr>
          <w:p>
            <w:pPr>
              <w:spacing w:after="0"/>
              <w:rPr>
                <w:sz w:val="24"/>
                <w:szCs w:val="24"/>
                <w:color w:val="auto"/>
              </w:rPr>
            </w:pPr>
          </w:p>
        </w:tc>
      </w:tr>
      <w:tr>
        <w:trPr>
          <w:trHeight w:val="212"/>
        </w:trPr>
        <w:tc>
          <w:tcPr>
            <w:tcW w:w="4200" w:type="dxa"/>
            <w:vAlign w:val="bottom"/>
          </w:tcPr>
          <w:p>
            <w:pPr>
              <w:jc w:val="center"/>
              <w:ind w:right="1739"/>
              <w:spacing w:after="0"/>
              <w:rPr>
                <w:sz w:val="20"/>
                <w:szCs w:val="20"/>
                <w:color w:val="auto"/>
              </w:rPr>
            </w:pPr>
            <w:r>
              <w:rPr>
                <w:rFonts w:ascii="Arial" w:cs="Arial" w:eastAsia="Arial" w:hAnsi="Arial"/>
                <w:sz w:val="18"/>
                <w:szCs w:val="18"/>
                <w:b w:val="1"/>
                <w:bCs w:val="1"/>
                <w:color w:val="auto"/>
                <w:w w:val="92"/>
              </w:rPr>
              <w:t>Cambridge, MA 02142</w:t>
            </w:r>
          </w:p>
        </w:tc>
        <w:tc>
          <w:tcPr>
            <w:tcW w:w="3800" w:type="dxa"/>
            <w:vAlign w:val="bottom"/>
          </w:tcPr>
          <w:p>
            <w:pPr>
              <w:jc w:val="right"/>
              <w:ind w:right="361"/>
              <w:spacing w:after="0"/>
              <w:rPr>
                <w:sz w:val="20"/>
                <w:szCs w:val="20"/>
                <w:color w:val="auto"/>
              </w:rPr>
            </w:pPr>
            <w:r>
              <w:rPr>
                <w:rFonts w:ascii="Arial" w:cs="Arial" w:eastAsia="Arial" w:hAnsi="Arial"/>
                <w:sz w:val="18"/>
                <w:szCs w:val="18"/>
                <w:b w:val="1"/>
                <w:bCs w:val="1"/>
                <w:color w:val="auto"/>
              </w:rPr>
              <w:t>(617) 401-9975</w:t>
            </w:r>
          </w:p>
        </w:tc>
      </w:tr>
      <w:tr>
        <w:trPr>
          <w:trHeight w:val="186"/>
        </w:trPr>
        <w:tc>
          <w:tcPr>
            <w:tcW w:w="4200" w:type="dxa"/>
            <w:vAlign w:val="bottom"/>
          </w:tcPr>
          <w:p>
            <w:pPr>
              <w:jc w:val="center"/>
              <w:ind w:right="17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00" w:type="dxa"/>
            <w:vAlign w:val="bottom"/>
          </w:tcPr>
          <w:p>
            <w:pPr>
              <w:jc w:val="center"/>
              <w:ind w:left="1721"/>
              <w:spacing w:after="0"/>
              <w:rPr>
                <w:sz w:val="20"/>
                <w:szCs w:val="20"/>
                <w:color w:val="auto"/>
              </w:rPr>
            </w:pPr>
            <w:r>
              <w:rPr>
                <w:rFonts w:ascii="Arial" w:cs="Arial" w:eastAsia="Arial" w:hAnsi="Arial"/>
                <w:sz w:val="14"/>
                <w:szCs w:val="14"/>
                <w:b w:val="1"/>
                <w:bCs w:val="1"/>
                <w:color w:val="auto"/>
                <w:w w:val="92"/>
              </w:rPr>
              <w:t>(Registrant’s telephone number)</w:t>
            </w:r>
          </w:p>
        </w:tc>
      </w:tr>
    </w:tbl>
    <w:p>
      <w:pPr>
        <w:spacing w:after="0" w:line="187"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7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spacing w:after="0"/>
              <w:rPr>
                <w:sz w:val="19"/>
                <w:szCs w:val="19"/>
                <w:color w:val="auto"/>
              </w:rPr>
            </w:pPr>
          </w:p>
        </w:tc>
        <w:tc>
          <w:tcPr>
            <w:tcW w:w="342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7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80"/>
              <w:spacing w:after="0"/>
              <w:rPr>
                <w:sz w:val="20"/>
                <w:szCs w:val="20"/>
                <w:color w:val="auto"/>
              </w:rPr>
            </w:pPr>
            <w:r>
              <w:rPr>
                <w:rFonts w:ascii="Arial" w:cs="Arial" w:eastAsia="Arial" w:hAnsi="Arial"/>
                <w:sz w:val="18"/>
                <w:szCs w:val="18"/>
                <w:color w:val="auto"/>
              </w:rPr>
              <w:t>(Do not check if a smaller reporting company)</w:t>
            </w:r>
          </w:p>
        </w:tc>
        <w:tc>
          <w:tcPr>
            <w:tcW w:w="3420" w:type="dxa"/>
            <w:vAlign w:val="bottom"/>
          </w:tcPr>
          <w:p>
            <w:pPr>
              <w:ind w:left="70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20" w:type="dxa"/>
            <w:vAlign w:val="bottom"/>
          </w:tcPr>
          <w:p>
            <w:pPr>
              <w:ind w:left="70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jc w:val="both"/>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190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11, 2018, there were 25,450,808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553720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64"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30"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1A. “Risk Factors”.</w:t>
      </w:r>
    </w:p>
    <w:p>
      <w:pPr>
        <w:spacing w:after="0" w:line="225"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65"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SYNLOGIC,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r>
      <w:tr>
        <w:trPr>
          <w:trHeight w:val="358"/>
        </w:trPr>
        <w:tc>
          <w:tcPr>
            <w:tcW w:w="10740" w:type="dxa"/>
            <w:vAlign w:val="bottom"/>
            <w:gridSpan w:val="18"/>
          </w:tcPr>
          <w:p>
            <w:pPr>
              <w:spacing w:after="0"/>
              <w:rPr>
                <w:sz w:val="20"/>
                <w:szCs w:val="20"/>
                <w:color w:val="auto"/>
              </w:rPr>
            </w:pPr>
            <w:r>
              <w:rPr>
                <w:rFonts w:ascii="Arial" w:cs="Arial" w:eastAsia="Arial" w:hAnsi="Arial"/>
                <w:sz w:val="18"/>
                <w:szCs w:val="18"/>
                <w:b w:val="1"/>
                <w:bCs w:val="1"/>
                <w:color w:val="auto"/>
              </w:rPr>
              <w:t>PART I - FINANCIAL INFORMATION</w:t>
            </w: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260" w:type="dxa"/>
            <w:vAlign w:val="bottom"/>
          </w:tcPr>
          <w:p>
            <w:pPr>
              <w:spacing w:after="0"/>
              <w:rPr>
                <w:sz w:val="24"/>
                <w:szCs w:val="24"/>
                <w:color w:val="auto"/>
              </w:rPr>
            </w:pPr>
          </w:p>
        </w:tc>
        <w:tc>
          <w:tcPr>
            <w:tcW w:w="10480" w:type="dxa"/>
            <w:vAlign w:val="bottom"/>
            <w:gridSpan w:val="17"/>
          </w:tcPr>
          <w:p>
            <w:pPr>
              <w:spacing w:after="0"/>
              <w:rPr>
                <w:sz w:val="20"/>
                <w:szCs w:val="20"/>
                <w:color w:val="auto"/>
              </w:rPr>
            </w:pPr>
            <w:r>
              <w:rPr>
                <w:rFonts w:ascii="Arial" w:cs="Arial" w:eastAsia="Arial" w:hAnsi="Arial"/>
                <w:sz w:val="18"/>
                <w:szCs w:val="18"/>
                <w:color w:val="auto"/>
              </w:rPr>
              <w:t>Item 1. Financial Statements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Balance Sheets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Consolidated Financial Statements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1048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318"/>
        </w:trPr>
        <w:tc>
          <w:tcPr>
            <w:tcW w:w="26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4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318"/>
        </w:trPr>
        <w:tc>
          <w:tcPr>
            <w:tcW w:w="260" w:type="dxa"/>
            <w:vAlign w:val="bottom"/>
          </w:tcPr>
          <w:p>
            <w:pPr>
              <w:spacing w:after="0"/>
              <w:rPr>
                <w:sz w:val="24"/>
                <w:szCs w:val="24"/>
                <w:color w:val="auto"/>
              </w:rPr>
            </w:pPr>
          </w:p>
        </w:tc>
        <w:tc>
          <w:tcPr>
            <w:tcW w:w="23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4. Controls and Procedures</w:t>
              </w:r>
            </w:hyperlink>
          </w:p>
        </w:tc>
        <w:tc>
          <w:tcPr>
            <w:tcW w:w="8120" w:type="dxa"/>
            <w:vAlign w:val="bottom"/>
            <w:gridSpan w:val="9"/>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358"/>
        </w:trPr>
        <w:tc>
          <w:tcPr>
            <w:tcW w:w="10740" w:type="dxa"/>
            <w:vAlign w:val="bottom"/>
            <w:gridSpan w:val="18"/>
          </w:tcPr>
          <w:p>
            <w:pPr>
              <w:spacing w:after="0"/>
              <w:rPr>
                <w:sz w:val="20"/>
                <w:szCs w:val="20"/>
                <w:color w:val="auto"/>
              </w:rPr>
            </w:pPr>
            <w:r>
              <w:rPr>
                <w:rFonts w:ascii="Arial" w:cs="Arial" w:eastAsia="Arial" w:hAnsi="Arial"/>
                <w:sz w:val="18"/>
                <w:szCs w:val="18"/>
                <w:b w:val="1"/>
                <w:bCs w:val="1"/>
                <w:color w:val="auto"/>
              </w:rPr>
              <w:t>PART II - OTHER INFORMATION</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Item 1. Legal Proceedings</w:t>
              </w:r>
            </w:hyperlink>
          </w:p>
        </w:tc>
        <w:tc>
          <w:tcPr>
            <w:tcW w:w="8580" w:type="dxa"/>
            <w:vAlign w:val="bottom"/>
            <w:gridSpan w:val="11"/>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318"/>
        </w:trPr>
        <w:tc>
          <w:tcPr>
            <w:tcW w:w="26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1A. Risk Factors</w:t>
              </w:r>
            </w:hyperlink>
          </w:p>
        </w:tc>
        <w:tc>
          <w:tcPr>
            <w:tcW w:w="8880" w:type="dxa"/>
            <w:vAlign w:val="bottom"/>
            <w:gridSpan w:val="13"/>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318"/>
        </w:trPr>
        <w:tc>
          <w:tcPr>
            <w:tcW w:w="260" w:type="dxa"/>
            <w:vAlign w:val="bottom"/>
          </w:tcPr>
          <w:p>
            <w:pPr>
              <w:spacing w:after="0"/>
              <w:rPr>
                <w:sz w:val="24"/>
                <w:szCs w:val="24"/>
                <w:color w:val="auto"/>
              </w:rPr>
            </w:pPr>
          </w:p>
        </w:tc>
        <w:tc>
          <w:tcPr>
            <w:tcW w:w="49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Item 2. Unregistered Sales of Equity Securities and Use of Proceeds</w:t>
              </w:r>
            </w:hyperlink>
          </w:p>
        </w:tc>
        <w:tc>
          <w:tcPr>
            <w:tcW w:w="5560" w:type="dxa"/>
            <w:vAlign w:val="bottom"/>
            <w:gridSpan w:val="2"/>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318"/>
        </w:trPr>
        <w:tc>
          <w:tcPr>
            <w:tcW w:w="26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Item 3.</w:t>
              </w:r>
            </w:hyperlink>
          </w:p>
        </w:tc>
        <w:tc>
          <w:tcPr>
            <w:tcW w:w="9940" w:type="dxa"/>
            <w:vAlign w:val="bottom"/>
            <w:gridSpan w:val="15"/>
          </w:tcPr>
          <w:p>
            <w:pPr>
              <w:ind w:left="20"/>
              <w:spacing w:after="0"/>
              <w:rPr>
                <w:rFonts w:ascii="Arial" w:cs="Arial" w:eastAsia="Arial" w:hAnsi="Arial"/>
                <w:sz w:val="18"/>
                <w:szCs w:val="18"/>
                <w:color w:val="0000EE"/>
              </w:rPr>
            </w:pPr>
            <w:hyperlink w:anchor="page55">
              <w:r>
                <w:rPr>
                  <w:rFonts w:ascii="Arial" w:cs="Arial" w:eastAsia="Arial" w:hAnsi="Arial"/>
                  <w:sz w:val="18"/>
                  <w:szCs w:val="18"/>
                  <w:color w:val="0000EE"/>
                </w:rPr>
                <w:t>Defaults Upon Senior Securities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318"/>
        </w:trPr>
        <w:tc>
          <w:tcPr>
            <w:tcW w:w="260" w:type="dxa"/>
            <w:vAlign w:val="bottom"/>
          </w:tcPr>
          <w:p>
            <w:pPr>
              <w:spacing w:after="0"/>
              <w:rPr>
                <w:sz w:val="24"/>
                <w:szCs w:val="24"/>
                <w:color w:val="auto"/>
              </w:rPr>
            </w:pPr>
          </w:p>
        </w:tc>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5"/>
          </w:tcPr>
          <w:p>
            <w:pPr>
              <w:ind w:left="20"/>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600" w:type="dxa"/>
            <w:vAlign w:val="bottom"/>
            <w:gridSpan w:val="8"/>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318"/>
        </w:trPr>
        <w:tc>
          <w:tcPr>
            <w:tcW w:w="26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Item 5.</w:t>
              </w:r>
            </w:hyperlink>
          </w:p>
        </w:tc>
        <w:tc>
          <w:tcPr>
            <w:tcW w:w="1340" w:type="dxa"/>
            <w:vAlign w:val="bottom"/>
            <w:tcBorders>
              <w:bottom w:val="single" w:sz="8" w:color="0000EE"/>
            </w:tcBorders>
            <w:gridSpan w:val="3"/>
          </w:tcPr>
          <w:p>
            <w:pPr>
              <w:ind w:left="20"/>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Other Information</w:t>
              </w:r>
            </w:hyperlink>
          </w:p>
        </w:tc>
        <w:tc>
          <w:tcPr>
            <w:tcW w:w="8600" w:type="dxa"/>
            <w:vAlign w:val="bottom"/>
            <w:gridSpan w:val="12"/>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318"/>
        </w:trPr>
        <w:tc>
          <w:tcPr>
            <w:tcW w:w="26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Item 6.</w:t>
              </w:r>
            </w:hyperlink>
          </w:p>
        </w:tc>
        <w:tc>
          <w:tcPr>
            <w:tcW w:w="9940" w:type="dxa"/>
            <w:vAlign w:val="bottom"/>
            <w:gridSpan w:val="15"/>
          </w:tcPr>
          <w:p>
            <w:pPr>
              <w:ind w:left="20"/>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1216"/>
        </w:trPr>
        <w:tc>
          <w:tcPr>
            <w:tcW w:w="260" w:type="dxa"/>
            <w:vAlign w:val="bottom"/>
            <w:tcBorders>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712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Current assets: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27,185</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58,440</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98,618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28,585</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120" w:type="dxa"/>
            <w:vAlign w:val="bottom"/>
            <w:shd w:val="clear" w:color="auto" w:fill="CFF0FC"/>
          </w:tcPr>
          <w:p>
            <w:pPr>
              <w:spacing w:after="0"/>
              <w:rPr>
                <w:sz w:val="19"/>
                <w:szCs w:val="19"/>
                <w:color w:val="auto"/>
              </w:rPr>
            </w:pPr>
          </w:p>
        </w:tc>
      </w:tr>
      <w:tr>
        <w:trPr>
          <w:trHeight w:val="223"/>
        </w:trPr>
        <w:tc>
          <w:tcPr>
            <w:tcW w:w="71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127,860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88,589</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9,783</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Restricted cash</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FF0FC"/>
          </w:tcPr>
          <w:p>
            <w:pPr>
              <w:spacing w:after="0"/>
              <w:rPr>
                <w:sz w:val="19"/>
                <w:szCs w:val="19"/>
                <w:color w:val="auto"/>
              </w:rPr>
            </w:pPr>
          </w:p>
        </w:tc>
      </w:tr>
      <w:tr>
        <w:trPr>
          <w:trHeight w:val="263"/>
        </w:trPr>
        <w:tc>
          <w:tcPr>
            <w:tcW w:w="7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7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142,661</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99,699</w:t>
            </w:r>
          </w:p>
        </w:tc>
        <w:tc>
          <w:tcPr>
            <w:tcW w:w="120" w:type="dxa"/>
            <w:vAlign w:val="bottom"/>
            <w:tcBorders>
              <w:bottom w:val="single" w:sz="8" w:color="CFF0FC"/>
            </w:tcBorders>
          </w:tcPr>
          <w:p>
            <w:pPr>
              <w:spacing w:after="0"/>
              <w:rPr>
                <w:sz w:val="22"/>
                <w:szCs w:val="22"/>
                <w:color w:val="auto"/>
              </w:rPr>
            </w:pPr>
          </w:p>
        </w:tc>
      </w:tr>
      <w:tr>
        <w:trPr>
          <w:trHeight w:val="210"/>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2,679</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4,823</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Deferred rent</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lease obligations</w:t>
            </w:r>
          </w:p>
        </w:tc>
        <w:tc>
          <w:tcPr>
            <w:tcW w:w="7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FF0FC"/>
          </w:tcPr>
          <w:p>
            <w:pPr>
              <w:spacing w:after="0"/>
              <w:rPr>
                <w:sz w:val="19"/>
                <w:szCs w:val="19"/>
                <w:color w:val="auto"/>
              </w:rPr>
            </w:pPr>
          </w:p>
        </w:tc>
      </w:tr>
      <w:tr>
        <w:trPr>
          <w:trHeight w:val="223"/>
        </w:trPr>
        <w:tc>
          <w:tcPr>
            <w:tcW w:w="7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7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9,027</w:t>
            </w:r>
          </w:p>
        </w:tc>
        <w:tc>
          <w:tcPr>
            <w:tcW w:w="12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Deferred revenue, net of current portion</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 net of current portion</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Capital lease obligations, net of current portion</w:t>
            </w:r>
          </w:p>
        </w:tc>
        <w:tc>
          <w:tcPr>
            <w:tcW w:w="7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long-term liabilities</w:t>
            </w:r>
          </w:p>
        </w:tc>
        <w:tc>
          <w:tcPr>
            <w:tcW w:w="7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5,634</w:t>
            </w:r>
          </w:p>
        </w:tc>
        <w:tc>
          <w:tcPr>
            <w:tcW w:w="120" w:type="dxa"/>
            <w:vAlign w:val="bottom"/>
            <w:shd w:val="clear" w:color="auto" w:fill="CFF0FC"/>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Preferred stock, $0.001 par value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5,000,000 shares authorized, none issued and outstanding as of March 31, 2018</w:t>
            </w: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December 31, 2017</w:t>
            </w:r>
          </w:p>
        </w:tc>
        <w:tc>
          <w:tcPr>
            <w:tcW w:w="7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Common stock, $0.001 par value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250,000,000 shares authorized as of March 31, 2018 and December 31, 2017.</w:t>
            </w: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22,172,117 and 16,272,617 shares issued and outstanding as of March 31, 2018</w:t>
            </w: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December 31, 2017, respectively.</w:t>
            </w:r>
          </w:p>
        </w:tc>
        <w:tc>
          <w:tcPr>
            <w:tcW w:w="7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0"/>
                <w:szCs w:val="20"/>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211,351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156,685</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(82,495)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(71,654)</w:t>
            </w:r>
          </w:p>
        </w:tc>
      </w:tr>
      <w:tr>
        <w:trPr>
          <w:trHeight w:val="223"/>
        </w:trPr>
        <w:tc>
          <w:tcPr>
            <w:tcW w:w="71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128,767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85,038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1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7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142,661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99,699</w:t>
            </w:r>
          </w:p>
        </w:tc>
        <w:tc>
          <w:tcPr>
            <w:tcW w:w="12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share/unit and per share/unit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6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General and administrative</w:t>
            </w:r>
          </w:p>
        </w:tc>
        <w:tc>
          <w:tcPr>
            <w:tcW w:w="1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Pr>
          <w:p>
            <w:pPr>
              <w:ind w:left="480"/>
              <w:spacing w:after="0"/>
              <w:rPr>
                <w:sz w:val="20"/>
                <w:szCs w:val="20"/>
                <w:color w:val="auto"/>
              </w:rPr>
            </w:pPr>
            <w:r>
              <w:rPr>
                <w:rFonts w:ascii="Arial" w:cs="Arial" w:eastAsia="Arial" w:hAnsi="Arial"/>
                <w:sz w:val="18"/>
                <w:szCs w:val="18"/>
                <w:color w:val="auto"/>
              </w:rPr>
              <w:t>Interest and investment income</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Pr>
          <w:p>
            <w:pPr>
              <w:ind w:left="480"/>
              <w:spacing w:after="0"/>
              <w:rPr>
                <w:sz w:val="20"/>
                <w:szCs w:val="20"/>
                <w:color w:val="auto"/>
              </w:rPr>
            </w:pPr>
            <w:r>
              <w:rPr>
                <w:rFonts w:ascii="Arial" w:cs="Arial" w:eastAsia="Arial" w:hAnsi="Arial"/>
                <w:sz w:val="18"/>
                <w:szCs w:val="18"/>
                <w:color w:val="auto"/>
              </w:rPr>
              <w:t>Other expense</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loss per share attributable to common shareholders - basic and diluted</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Weighted-average common shares used in computing net loss per share</w:t>
            </w: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attributable to common shareholders - basic and diluted</w:t>
            </w:r>
          </w:p>
        </w:tc>
        <w:tc>
          <w:tcPr>
            <w:tcW w:w="1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20,145,881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Net loss per unit attributable to common unit holders - basic and diluted</w:t>
            </w:r>
          </w:p>
        </w:tc>
        <w:tc>
          <w:tcPr>
            <w:tcW w:w="1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tcPr>
          <w:p>
            <w:pPr>
              <w:ind w:left="240"/>
              <w:spacing w:after="0"/>
              <w:rPr>
                <w:sz w:val="20"/>
                <w:szCs w:val="20"/>
                <w:color w:val="auto"/>
              </w:rPr>
            </w:pPr>
            <w:r>
              <w:rPr>
                <w:rFonts w:ascii="Arial" w:cs="Arial" w:eastAsia="Arial" w:hAnsi="Arial"/>
                <w:sz w:val="18"/>
                <w:szCs w:val="18"/>
                <w:color w:val="auto"/>
              </w:rPr>
              <w:t>Weighted-average common units used in computing net loss per unit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attributable to common unit holders - basic and diluted</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1,640,367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6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Comprehensive loss: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(11,165)</w:t>
            </w: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Pr>
          <w:p>
            <w:pPr>
              <w:ind w:left="240"/>
              <w:spacing w:after="0"/>
              <w:rPr>
                <w:sz w:val="20"/>
                <w:szCs w:val="20"/>
                <w:color w:val="auto"/>
              </w:rPr>
            </w:pPr>
            <w:r>
              <w:rPr>
                <w:rFonts w:ascii="Arial" w:cs="Arial" w:eastAsia="Arial" w:hAnsi="Arial"/>
                <w:sz w:val="18"/>
                <w:szCs w:val="18"/>
                <w:color w:val="auto"/>
              </w:rPr>
              <w:t>Net unrealized losses on marketable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Consolidated Statements of Cash Flows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420"/>
          </w:cols>
          <w:pgMar w:left="240" w:top="337" w:right="239" w:bottom="1440" w:gutter="0" w:footer="0" w:header="0"/>
        </w:sectPr>
      </w:pPr>
    </w:p>
    <w:p>
      <w:pPr>
        <w:spacing w:after="0" w:line="298" w:lineRule="exact"/>
        <w:rPr>
          <w:sz w:val="20"/>
          <w:szCs w:val="20"/>
          <w:color w:val="auto"/>
        </w:rPr>
      </w:pPr>
    </w:p>
    <w:p>
      <w:pPr>
        <w:jc w:val="center"/>
        <w:ind w:left="800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13970</wp:posOffset>
            </wp:positionV>
            <wp:extent cx="995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6"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March 31, 2018</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26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13970</wp:posOffset>
            </wp:positionV>
            <wp:extent cx="10033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sectPr>
          <w:pgSz w:w="11900" w:h="16838" w:orient="portrait"/>
          <w:cols w:equalWidth="0" w:num="2">
            <w:col w:w="9300" w:space="540"/>
            <w:col w:w="158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(11,165)</w:t>
            </w: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(7,368)</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1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Equity-based compensation expense</w:t>
            </w: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Accretion/amortization of investment securities</w:t>
            </w:r>
          </w:p>
        </w:tc>
        <w:tc>
          <w:tcPr>
            <w:tcW w:w="1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Accounts payable and accrued expenses</w:t>
            </w: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(2,975)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1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Deferred rent</w:t>
            </w: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1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(74,964)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maturity of marketable securities</w:t>
            </w:r>
          </w:p>
        </w:tc>
        <w:tc>
          <w:tcPr>
            <w:tcW w:w="1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(71,868)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capital lease obligations</w:t>
            </w:r>
          </w:p>
        </w:tc>
        <w:tc>
          <w:tcPr>
            <w:tcW w:w="1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Proceeds from sale of common stock, net of issuance costs</w:t>
            </w: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53,752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preferred units, net of issuance costs</w:t>
            </w:r>
          </w:p>
        </w:tc>
        <w:tc>
          <w:tcPr>
            <w:tcW w:w="1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1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53,644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28,282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34,196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Landlord funded allowance for tenant improvements</w:t>
            </w:r>
          </w:p>
        </w:tc>
        <w:tc>
          <w:tcPr>
            <w:tcW w:w="174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680" w:type="dxa"/>
            <w:vAlign w:val="bottom"/>
          </w:tcPr>
          <w:p>
            <w:pPr>
              <w:ind w:left="260"/>
              <w:spacing w:after="0"/>
              <w:rPr>
                <w:sz w:val="20"/>
                <w:szCs w:val="20"/>
                <w:color w:val="auto"/>
              </w:rPr>
            </w:pPr>
            <w:r>
              <w:rPr>
                <w:rFonts w:ascii="Arial" w:cs="Arial" w:eastAsia="Arial" w:hAnsi="Arial"/>
                <w:sz w:val="18"/>
                <w:szCs w:val="18"/>
                <w:color w:val="auto"/>
              </w:rPr>
              <w:t>Property and equipment purchases included in accounts</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payable and accrued expenses</w:t>
            </w:r>
          </w:p>
        </w:tc>
        <w:tc>
          <w:tcPr>
            <w:tcW w:w="1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1,047</w:t>
            </w:r>
          </w:p>
        </w:tc>
        <w:tc>
          <w:tcPr>
            <w:tcW w:w="160" w:type="dxa"/>
            <w:vAlign w:val="bottom"/>
          </w:tcPr>
          <w:p>
            <w:pPr>
              <w:spacing w:after="0"/>
              <w:rPr>
                <w:sz w:val="20"/>
                <w:szCs w:val="20"/>
                <w:color w:val="auto"/>
              </w:rPr>
            </w:pP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Synlogic, Inc., together with its wholly owned and consolidated subsidiaries (“Synlogic” or the “Company”), is a clinical-stage biopharmaceutical company focused on advancing its drug discovery and development platform for Synthetic Biotic™ medicines, which are designed using synthetic biology to genetically reprogram beneficial microbes to treat metabolic and inflammatory diseases and cancer. Synthetic Biotic medicines are generated from Synlogic’s proprietary drug discovery and development platform applying the principles and tools of synthetic biology to engineer beneficial probiotic bacteria to perform or deliver critical therapeutic functions. As living medicines, Synthetic Biotic medicines can be designed to sense a local disease context within a patient’s body and to respond by metabolizing a toxic substance, by compensating for missing or damaged metabolic pathways in patients, or by delivering combinations of therapeutic factors. Synlogic’s goal is to lead in the discovery and development of Synthetic Biotic therapies as living medicines capable of robust and precise pathway complementation and delivery of therapeutic benefit.</w:t>
      </w:r>
    </w:p>
    <w:p>
      <w:pPr>
        <w:spacing w:after="0" w:line="179"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 xml:space="preserve">Synlogic, Inc. (“Private Synlogic” when referred to prior to the Merger (as defined below)) was founded and began operations on March 14, 2014, as TMC Therapeutics, Inc., located in Cambridge, Massachusetts. On July 15, 2014, TMC Therapeutics, Inc. changed its name to Synlogic, Inc. On July 2, 2015, the common and preferred stockholders of Private Synlogic executed the Synlogic, LLC Contribution Agreement (the “Contribution Agreement”), pursuant to which such common and preferred stockholders contributed such stockholders’ equity interests in Private Synlogic in exchange for common and preferred units in a newly formed parent company named Synlogic, LLC. In addition, Synlogic IBDCo, Inc. (“IBDCo”) was formed as a subsidiary of Synlogic, LLC (the “2015 Reorganization”). In conjunction with the 2015 Reorganization, Private Synlogic entered into a license, option and merger agreement with AbbVie S.à.r.l. (“AbbVie”), for the development of treatments for inflammatory bowel disease (“IBD”). See Note 12, </w:t>
      </w:r>
      <w:r>
        <w:rPr>
          <w:rFonts w:ascii="Arial" w:cs="Arial" w:eastAsia="Arial" w:hAnsi="Arial"/>
          <w:sz w:val="18"/>
          <w:szCs w:val="18"/>
          <w:i w:val="1"/>
          <w:iCs w:val="1"/>
          <w:color w:val="auto"/>
        </w:rPr>
        <w:t>AbbVie Collaboration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9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 May 2017, Private Synlogic completed a reorganization (the “2017 Reorganization”) pursuant to which Synlogic, LLC merged with and into Private Synlogic, with Private Synlogic continuing as the surviving corporation.</w:t>
      </w:r>
    </w:p>
    <w:p>
      <w:pPr>
        <w:spacing w:after="0" w:line="170"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 xml:space="preserve">On August 28, 2017, Synlogic, Inc., formerly known as Mirna Therapeutics, Inc. (NASDAQ: MIRN) (“Mirna”), completed its business combination with Private Synlogic pursuant to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Immediately after completion of the Merger, Mirna changed its name to “Synlogic, Inc.” (NASDAQ: SYBX). See Note 3, </w:t>
      </w:r>
      <w:r>
        <w:rPr>
          <w:rFonts w:ascii="Arial" w:cs="Arial" w:eastAsia="Arial" w:hAnsi="Arial"/>
          <w:sz w:val="18"/>
          <w:szCs w:val="18"/>
          <w:i w:val="1"/>
          <w:iCs w:val="1"/>
          <w:color w:val="auto"/>
        </w:rPr>
        <w:t>Merger with Mirna Therapeutics</w:t>
      </w:r>
      <w:r>
        <w:rPr>
          <w:rFonts w:ascii="Arial" w:cs="Arial" w:eastAsia="Arial" w:hAnsi="Arial"/>
          <w:sz w:val="18"/>
          <w:szCs w:val="18"/>
          <w:color w:val="auto"/>
        </w:rPr>
        <w:t>.</w:t>
      </w:r>
    </w:p>
    <w:p>
      <w:pPr>
        <w:spacing w:after="0" w:line="18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Company operates in one operating segment: the discovery and development of Synthetic Biotic medicines. The Company’s chief executive officer, as chief operating decision maker, manages and allocates resources to the operations of the Company on a total company basis. Since incorporation, the Company has devoted substantially all of its efforts to the research and development of its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At March 31, 2018, the Company had $125.8 million in cash, cash equivalents, and marketable securities, $1.1 million of restricted cash and an accumulated deficit of $82.5 million. Since its inception through March 31, 2018, the Company has primarily financed its operations through the issuance of preferred stock and units, the sale of its common stock, the AbbVie collaboration, and cash received in the Merger. In the absence of positive cash flows from operations, the Company is highly dependent on its ability to find additional sources of funding in the form of debt or equity financing. In January 2018, the Company sold a total of 5,899,500 shares of its common stock in a firm commitment, underwritten public offering at a price of $9.75 per share. The Company received $53.8 million in net proceeds from this offering, after underwriting discounts and commission and other offering expenses. Management believes that the Company has sufficient cash to fund its operations through at least twelve months from the issuance of these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partnerships.</w:t>
      </w:r>
    </w:p>
    <w:p>
      <w:pPr>
        <w:spacing w:after="0" w:line="273"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significant accounting policies described in the Company’s audited financial statements as of and for the year ended December 31, 2017, and the notes thereto, which are included in the Company’s Annual Report on Form 10-K for the year ended December 31, 2017, filed with the Securities and Exchange Commission (“SEC”) on March 20, 2018, have had no material changes during the three months ended March 31, 2018, other than our adoption of ASC 606 (as defined below) which is discussed in detail in this note.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The accompanying consolidated financial statements and the related disclosures as of March 31, 2018 and for the three months ended March 31, 2018 and 2017 are unaudited and have been prepared in accordance with accounting principles generally accepted in the United States (“GAAP”) and the rules and regulations of the Securities and Exchange Commission (“SEC”) for interim financial statements. Accordingly, they do not include all of the information and notes required by GAAP for complete financial statements. These interim consolidated financial statements should be read in conjunction with the Company’s 2017 and 2016 audited consolidated financial statements and notes included in the Company’s Annual Report on Form 10-K filed with the SEC on March 20, 2018. The December 31, 2017 consolidated balance sheet included herein was derived from the 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months ended March 31, 2018 and 2017. The results of operations for the interim periods are not necessarily indicative of the results to be expected for the year ending December 31, 2018 or any other interim period or future year or period.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80" w:firstLine="518"/>
        <w:spacing w:after="0" w:line="297"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No. 2014-09, which amends the guidance for accounting for revenue from contracts with customers. This ASU supersedes the revenue recognition requirements in ASC 605,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or ASC 605, and creates ASC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In 2015 and 2016, the FASB issued additional ASUs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ASC 606 that delayed the effective date of the guidance and clarified various aspects of the new revenue guidance, including principal versus agent considerations, identifying performance obligations, and licensing, and they include other improvements and practical expedients.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 xml:space="preserve">Effective January 1, 2018, the Company adopted Accounting Standards Codification, or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using the modified retrospective transition method. Under this method, results for reporting periods beginning after January 1, 2018 are presented under ASC 606, while prior period amounts are not adjusted and continue to be reported in accordance with ASC 605. This standard applies to all contracts with customers, except for contracts that are within the scope of other standards, such as leases, insurance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has entered into collaboration agreements for research and development services, under which the Company licenses certain rights to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Any variable consideration is constrained, and therefore the cumulative revenue associated with the consideration is not recognized, until it is deemed not be at significant risk of reversal.</w:t>
      </w:r>
    </w:p>
    <w:p>
      <w:pPr>
        <w:spacing w:after="0" w:line="188"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each of its agreements for which the collaboration partner is also a customer,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 (ii) above; b) the transaction price under step (iii) above; and c) the contract term and pattern of satisfaction of the performance obligations under step (v) above. The Company uses significant judgment to determine whether milestones or other variable consideration, except for royalties, should be included in the transaction price as described further below. The transaction price is allocated to the goods and services the Company expects to provide. The Company uses estimates to determine the timing of satisfaction of performance obligations, which may include the use of full time employees (“FTE”) as a measure of satisfaction of performance obligations.</w:t>
      </w:r>
    </w:p>
    <w:p>
      <w:pPr>
        <w:spacing w:after="0" w:line="169"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Amounts received prior to satisfying the revenue recognition criteria are recorded as deferred revenue in the Company’s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Licenses of Intellectual Property</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In assessing whether a promise or performance obligation is distinct from the other promises, the Company considers factors such as the research, manufacturing and commercialization capabilities of the customer and the availability of the associated expertise in the general marketplace. In addition, the Company considers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Services</w:t>
      </w:r>
    </w:p>
    <w:p>
      <w:pPr>
        <w:spacing w:after="0" w:line="117"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If an arrangement is determined to contain a promise or obligation for the company to perform research and development services, the Company must determine whether these services are distinct other promises in the arrangement. In assessing whether the services are distinct from the other promises, the Company considers the capabilities of the customer to perform these same services.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 Options</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an alternative approach when the goods or services are both (i) similar to the original goods and services in the contract and (ii) provided in accordance with the terms of the original contract. Under this alternative, the Company allocates the total amount of consideration expected to be received from the customer to the total goods or services expected to be provided to the customer. Amounts allocated to a material right are not recognized as revenue until the option is exercised and the performance obligation is satisfied.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Milestone Payments</w:t>
      </w:r>
    </w:p>
    <w:p>
      <w:pPr>
        <w:spacing w:after="0" w:line="117"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At the inception of each arrangement that includes milestone payments, the Company evaluates whether a significant reversal of 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Royalties</w:t>
      </w:r>
    </w:p>
    <w:p>
      <w:pPr>
        <w:spacing w:after="0" w:line="11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For arrangements that include sales-based royalties, including milestone payments based on a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costs</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 recognizes as an asset the incremental costs of obtaining a contract with a customer if the costs are expected to be recovered. As a practical expedient, the Company recognizes the incremental costs of obtaining a contract as an expense when incurred if the amortization period of the asset that we otherwise would have recognized is one year or less. To date, the Company has not incurred any incremental costs of obtaining a contract with a customer.</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For additional discussion of accounting for collaboration revenues, see Note 12, </w:t>
      </w:r>
      <w:r>
        <w:rPr>
          <w:rFonts w:ascii="Arial" w:cs="Arial" w:eastAsia="Arial" w:hAnsi="Arial"/>
          <w:sz w:val="18"/>
          <w:szCs w:val="18"/>
          <w:i w:val="1"/>
          <w:iCs w:val="1"/>
          <w:color w:val="auto"/>
        </w:rPr>
        <w:t>AbbVie Collaboration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 of Adoption</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As a result of adopting ASC 606 on January 1, 2018, the Company has recorded a cumulative-effect decrease to opening accumulated deficit of $0.3 million as of January 1, 2018 and a corresponding decrease to deferred revenue. Total revenue recorded in the three months ended March 31, 2018 under ASC 606 was $0.4 million, as compared to $0.1 million that would have been recorded under ASC 605. Deferred revenue as of March 31, 2018 was $0.4 million under ASC 606, as compared to a balance of $1.0 million which would have resulted under ASC 605.</w:t>
      </w:r>
    </w:p>
    <w:p>
      <w:pPr>
        <w:spacing w:after="0" w:line="17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most significant changes relate to the Company’s revenue recognition pattern for the AbbVie Collaboration Agreement and the accounting for milestone payments.</w:t>
      </w:r>
    </w:p>
    <w:p>
      <w:pPr>
        <w:spacing w:after="0" w:line="170" w:lineRule="exact"/>
        <w:rPr>
          <w:sz w:val="20"/>
          <w:szCs w:val="20"/>
          <w:color w:val="auto"/>
        </w:rPr>
      </w:pPr>
    </w:p>
    <w:p>
      <w:pPr>
        <w:ind w:right="160" w:firstLine="518"/>
        <w:spacing w:after="0" w:line="221" w:lineRule="exact"/>
        <w:rPr>
          <w:sz w:val="20"/>
          <w:szCs w:val="20"/>
          <w:color w:val="auto"/>
        </w:rPr>
      </w:pPr>
      <w:r>
        <w:rPr>
          <w:rFonts w:ascii="Arial" w:cs="Arial" w:eastAsia="Arial" w:hAnsi="Arial"/>
          <w:sz w:val="17"/>
          <w:szCs w:val="17"/>
          <w:color w:val="auto"/>
        </w:rPr>
        <w:t>Under ASC 605, the Company was recognizing the revenue allocated to each unit of accounting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period the Company is expected to complete its obligations. Under ASC 606, the Company is recognizing the revenue allocated to each performance obligation measuring progress using an input method over the period the Company is expected to complete each performance obligation.</w:t>
      </w:r>
    </w:p>
    <w:p>
      <w:pPr>
        <w:spacing w:after="0" w:line="202" w:lineRule="exact"/>
        <w:rPr>
          <w:sz w:val="20"/>
          <w:szCs w:val="20"/>
          <w:color w:val="auto"/>
        </w:rPr>
      </w:pPr>
    </w:p>
    <w:p>
      <w:pPr>
        <w:jc w:val="both"/>
        <w:ind w:right="200" w:firstLine="518"/>
        <w:spacing w:after="0" w:line="257" w:lineRule="auto"/>
        <w:rPr>
          <w:sz w:val="20"/>
          <w:szCs w:val="20"/>
          <w:color w:val="auto"/>
        </w:rPr>
      </w:pPr>
      <w:r>
        <w:rPr>
          <w:rFonts w:ascii="Arial" w:cs="Arial" w:eastAsia="Arial" w:hAnsi="Arial"/>
          <w:sz w:val="18"/>
          <w:szCs w:val="18"/>
          <w:color w:val="auto"/>
        </w:rPr>
        <w:t xml:space="preserve">Under ASC 605, the Company recognized revenue related to milestone payments as the milestone was achieved, using the milestone method. Under ASC 606, the Company determined that the milestones at the beginning of certain research and development phases represent a 90-day contract with daily customer renewal options for the Company’s continued research and development services. As a result, revenue from these milestones is recognized over a performance obligation consisting of the next phase of research and development services. For further discussion of the adoption of this standard, see Note 12, </w:t>
      </w:r>
      <w:r>
        <w:rPr>
          <w:rFonts w:ascii="Arial" w:cs="Arial" w:eastAsia="Arial" w:hAnsi="Arial"/>
          <w:sz w:val="18"/>
          <w:szCs w:val="18"/>
          <w:i w:val="1"/>
          <w:iCs w:val="1"/>
          <w:color w:val="auto"/>
        </w:rPr>
        <w:t>AbbVie Collaboration Agreement</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11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In May 2017, the FASB issued ASU 2017-09, Compensation – Stock Compensation (Topic 718): Scope Modification Accounting. The new standard is intended to reduce the diversity in practice and cost and complexity when applying the guidance in Topic 718 to a change to the terms or conditions of a share-based payment award. The new standard will be effective for annual reporting periods and interim periods within those annual periods, beginning after December 15, 2017. The amendments in this update will be applied prospectively to an award modified on or after the adoption date. The Company adopted this standard as of January 1, 2018 and it did not have a material impact on the Company’s financial position or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500" w:firstLine="518"/>
        <w:spacing w:after="0" w:line="264" w:lineRule="auto"/>
        <w:rPr>
          <w:sz w:val="20"/>
          <w:szCs w:val="20"/>
          <w:color w:val="auto"/>
        </w:rPr>
      </w:pPr>
      <w:r>
        <w:rPr>
          <w:rFonts w:ascii="Arial" w:cs="Arial" w:eastAsia="Arial" w:hAnsi="Arial"/>
          <w:sz w:val="18"/>
          <w:szCs w:val="18"/>
          <w:color w:val="auto"/>
        </w:rPr>
        <w:t>The recently issued accounting pronouncements described in the Company’s consolidated financial statements as of and for the year ended December 31, 2017, and the notes thereto included in the Company’s Annual Report on Form 10-K filed with the SEC on March 20, 2018, have had no material changes during the three months ended March 31, 2018, except as described below.</w:t>
      </w:r>
    </w:p>
    <w:p>
      <w:pPr>
        <w:spacing w:after="0" w:line="18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 February 2016, the FASB issued ASU 2016-02 – Leases (Topic 842), which replaces the existing accounting guidance for leases. This standard requires entities that lease assets to recognize the assets and liabilities for the rights and obligations created by those leases on the balance sheet. The standard is effective for fiscal years and the interim periods within those fiscal years beginning after December 15, 2018. The guidance is required to be applied by the modified retrospective transition approach and early adoption is permitted. While the Company is currently assessing the impact that adoption of this guidance will have on its financial statements and footnote disclosures, it anticipates it will result in an increase in assets and liabilities.</w:t>
      </w:r>
    </w:p>
    <w:p>
      <w:pPr>
        <w:spacing w:after="0" w:line="158"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In February 2018, the FASB issued ASU 2018-02 – Income Statement – Reporting Comprehensive Income (Topic 220), which provides amended guidance on income tax accounting. The amended guidance permits the reclassification of the income tax effect on amounts recorded within other comprehensive income impacted by the Tax Cuts and Jobs Act into retained earnings. The amended guidance is effective for periods ending after December 15, 2018 and applies only to those amounts remaining in Other Comprehensive Income at the date of enactment of the Act. The amended guidance may be adopted on either a retrospective basis or at the beginning of the period of adoption. The Company is assessing the potential impact of the amended standard.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In March 2018, the FASB issued Accounting Standards Update No. 2018-05, Income Taxes (Topic 740): Amendments to SEC Paragraphs Pursuant to SEC Staff Accounting Bulletin No. 118 (“ASU 2018-05”). The standard amends Accounting Standards Codification 740, Income Taxes (“ASC 740”), to provide guidance on accounting for the tax effects of the Tax Act pursuant to Staff Accounting Bulletin No. 118. The Company is currently evaluating the new guidance included in ASU 2018-05, but does not expect it to have a material impact on its consolidated financial statements.</w:t>
      </w:r>
    </w:p>
    <w:p>
      <w:pPr>
        <w:spacing w:after="0" w:line="258"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Merger with Mirna Therapeutics</w:t>
      </w:r>
    </w:p>
    <w:p>
      <w:pPr>
        <w:spacing w:after="0" w:line="12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On August 28, 2017, Synlogic, Inc., formerly known as Mirna, completed its business combination with Private Synlogic in accordance with the terms of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On August 25, 2017, in connection with, and prior to the completion of, the Merger, Mirna effected a 1:7 reverse stock split of its common stock (the “Reverse Stock Split”), and on August 28, 2017, immediately after completion of the Merger, Mirna changed its name to “Synlogic, Inc.” (NASDAQ: SYBX). Pursuant to the terms of the Merger Agreement and after giving effect to the Reverse Stock Split, at the effective time of the Merger (the “Effective Time”), each outstanding share of Private Synlogic capital stock was converted into the right to receive approximately 0.5532 shares of Mirna common stock (the “Exchange Ratio”). In addition, at the Effective Time, Mirna assumed all outstanding options to purchase shares of Private Synlogic common stock, which were exchanged for options to purchase shares of Mirna common stock, in each case appropriately adjusted based on the Exchange Ratio. Mirna also assumed the 2017 Plan. Immediately after the Merger, there were 16,282,496 shares of common stock outstanding.</w:t>
      </w:r>
    </w:p>
    <w:p>
      <w:pPr>
        <w:spacing w:after="0" w:line="169" w:lineRule="exact"/>
        <w:rPr>
          <w:sz w:val="20"/>
          <w:szCs w:val="20"/>
          <w:color w:val="auto"/>
        </w:rPr>
      </w:pPr>
    </w:p>
    <w:p>
      <w:pPr>
        <w:ind w:right="160" w:firstLine="518"/>
        <w:spacing w:after="0" w:line="288" w:lineRule="auto"/>
        <w:rPr>
          <w:sz w:val="20"/>
          <w:szCs w:val="20"/>
          <w:color w:val="auto"/>
        </w:rPr>
      </w:pPr>
      <w:r>
        <w:rPr>
          <w:rFonts w:ascii="Arial" w:cs="Arial" w:eastAsia="Arial" w:hAnsi="Arial"/>
          <w:sz w:val="16"/>
          <w:szCs w:val="16"/>
          <w:color w:val="auto"/>
        </w:rPr>
        <w:t>For accounting purposes, Private Synlogic is considered to have acquired Mirna in the Merger. Private Synlogic was determined to be the accounting acquirer based upon the terms of the Merger and other factors including: (i) Private Synlogic stockholders owned approximately 83% of the combined company immediately following the closing of the Merger, (ii) Private Synlogic directors held five of the seven board seats in the combined company, and</w:t>
      </w:r>
    </w:p>
    <w:p>
      <w:pPr>
        <w:ind w:right="40" w:firstLine="8"/>
        <w:spacing w:after="0" w:line="271"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Private Synlogic management held all key positions in the management of the combined company. The Merger was accounted for as an asset acquisition rather than a business combination because the assets acquired and liabilities assumed by the Company did not meet the definition of a business as defined by ASU 2017-01. The net assets acquired in connection with this transaction were recorded at their estimated acquisition date fair values as of August 28, 2017, the date the Merger was completed (the “Merger Closing Date”). For additional disclosure related to the Merger, see Note 3, </w:t>
      </w:r>
      <w:r>
        <w:rPr>
          <w:rFonts w:ascii="Arial" w:cs="Arial" w:eastAsia="Arial" w:hAnsi="Arial"/>
          <w:sz w:val="17"/>
          <w:szCs w:val="17"/>
          <w:i w:val="1"/>
          <w:iCs w:val="1"/>
          <w:color w:val="auto"/>
        </w:rPr>
        <w:t>Merger with Mirna</w:t>
      </w:r>
      <w:r>
        <w:rPr>
          <w:rFonts w:ascii="Arial" w:cs="Arial" w:eastAsia="Arial" w:hAnsi="Arial"/>
          <w:sz w:val="17"/>
          <w:szCs w:val="17"/>
          <w:color w:val="auto"/>
        </w:rPr>
        <w:t>, in the Company’s Annual Report on Form 10-K filed with the SEC on March 20, 2018.</w:t>
      </w:r>
    </w:p>
    <w:p>
      <w:pPr>
        <w:spacing w:after="0" w:line="323"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500" w:firstLine="518"/>
        <w:spacing w:after="0" w:line="264" w:lineRule="auto"/>
        <w:rPr>
          <w:sz w:val="20"/>
          <w:szCs w:val="20"/>
          <w:color w:val="auto"/>
        </w:rPr>
      </w:pPr>
      <w:r>
        <w:rPr>
          <w:rFonts w:ascii="Arial" w:cs="Arial" w:eastAsia="Arial" w:hAnsi="Arial"/>
          <w:sz w:val="18"/>
          <w:szCs w:val="18"/>
          <w:color w:val="auto"/>
        </w:rPr>
        <w:t>The table below presents information about the Company’s assets that are measured at fair value on a recurring basis and indicate the fair value hierarchy of the valuation techniques the Company utilized to determine such fair value, as described under Note 2</w:t>
      </w:r>
      <w:r>
        <w:rPr>
          <w:rFonts w:ascii="Arial" w:cs="Arial" w:eastAsia="Arial" w:hAnsi="Arial"/>
          <w:sz w:val="18"/>
          <w:szCs w:val="18"/>
          <w:i w:val="1"/>
          <w:iCs w:val="1"/>
          <w:color w:val="auto"/>
        </w:rPr>
        <w:t>,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w:t>
      </w:r>
    </w:p>
    <w:p>
      <w:pPr>
        <w:spacing w:after="0" w:line="18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March 31, 2018 and December 31, 2017, the Company has classified assets measured at fair value on a recurring basis as follows (in thousands):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60" w:type="dxa"/>
            <w:vAlign w:val="bottom"/>
            <w:gridSpan w:val="12"/>
          </w:tcPr>
          <w:p>
            <w:pPr>
              <w:ind w:left="78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20" w:type="dxa"/>
            <w:vAlign w:val="bottom"/>
          </w:tcPr>
          <w:p>
            <w:pPr>
              <w:ind w:left="22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 (included in cash and</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equivalents)</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Corporate debt securities (included in cash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and cash equivalents)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 (included in short-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investments)</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98,618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98,618</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115,680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99,864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60" w:type="dxa"/>
            <w:vAlign w:val="bottom"/>
            <w:gridSpan w:val="12"/>
          </w:tcPr>
          <w:p>
            <w:pPr>
              <w:ind w:left="78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20" w:type="dxa"/>
            <w:vAlign w:val="bottom"/>
          </w:tcPr>
          <w:p>
            <w:pPr>
              <w:ind w:left="22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 (included in cash and</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equivalents)</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Corporate debt securities (included in cash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and cash equivalents)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11,405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11,405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 (included in short-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investments)</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28,585</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61,291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39,990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Cash equivalents, prepaid expenses and other current assets, accounts payable and accrued expenses at March 31, 2018 and December 31, 2017 are carried at amounts that approximate fair value due to their short-term maturities. Capital lease obligations at March 31, 2018 and December 31, 2017 approximate fair value as they bear interest at a rate approximating a market interest rate.</w:t>
      </w:r>
    </w:p>
    <w:p>
      <w:pPr>
        <w:spacing w:after="0" w:line="285"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Investments</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available-for-sale securities held at March 31, 2018 and December 31, 2017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Amortized cost</w:t>
            </w:r>
          </w:p>
        </w:tc>
        <w:tc>
          <w:tcPr>
            <w:tcW w:w="1280" w:type="dxa"/>
            <w:vAlign w:val="bottom"/>
            <w:gridSpan w:val="3"/>
          </w:tcPr>
          <w:p>
            <w:pPr>
              <w:ind w:left="220"/>
              <w:spacing w:after="0"/>
              <w:rPr>
                <w:sz w:val="20"/>
                <w:szCs w:val="20"/>
                <w:color w:val="auto"/>
              </w:rPr>
            </w:pPr>
            <w:r>
              <w:rPr>
                <w:rFonts w:ascii="Arial" w:cs="Arial" w:eastAsia="Arial" w:hAnsi="Arial"/>
                <w:sz w:val="14"/>
                <w:szCs w:val="14"/>
                <w:b w:val="1"/>
                <w:bCs w:val="1"/>
                <w:color w:val="auto"/>
                <w:w w:val="91"/>
              </w:rPr>
              <w:t>Gross unrealized</w:t>
            </w:r>
          </w:p>
        </w:tc>
        <w:tc>
          <w:tcPr>
            <w:tcW w:w="1480" w:type="dxa"/>
            <w:vAlign w:val="bottom"/>
            <w:gridSpan w:val="4"/>
          </w:tcPr>
          <w:p>
            <w:pPr>
              <w:ind w:left="200"/>
              <w:spacing w:after="0"/>
              <w:rPr>
                <w:sz w:val="20"/>
                <w:szCs w:val="20"/>
                <w:color w:val="auto"/>
              </w:rPr>
            </w:pPr>
            <w:r>
              <w:rPr>
                <w:rFonts w:ascii="Arial" w:cs="Arial" w:eastAsia="Arial" w:hAnsi="Arial"/>
                <w:sz w:val="14"/>
                <w:szCs w:val="14"/>
                <w:b w:val="1"/>
                <w:bCs w:val="1"/>
                <w:color w:val="auto"/>
              </w:rPr>
              <w:t>Gross unrealized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96"/>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98,729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98,729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24"/>
                <w:szCs w:val="2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Amortized cost</w:t>
            </w:r>
          </w:p>
        </w:tc>
        <w:tc>
          <w:tcPr>
            <w:tcW w:w="1280" w:type="dxa"/>
            <w:vAlign w:val="bottom"/>
            <w:gridSpan w:val="3"/>
          </w:tcPr>
          <w:p>
            <w:pPr>
              <w:ind w:left="220"/>
              <w:spacing w:after="0"/>
              <w:rPr>
                <w:sz w:val="20"/>
                <w:szCs w:val="20"/>
                <w:color w:val="auto"/>
              </w:rPr>
            </w:pPr>
            <w:r>
              <w:rPr>
                <w:rFonts w:ascii="Arial" w:cs="Arial" w:eastAsia="Arial" w:hAnsi="Arial"/>
                <w:sz w:val="14"/>
                <w:szCs w:val="14"/>
                <w:b w:val="1"/>
                <w:bCs w:val="1"/>
                <w:color w:val="auto"/>
                <w:w w:val="91"/>
              </w:rPr>
              <w:t>Gross unrealized</w:t>
            </w:r>
          </w:p>
        </w:tc>
        <w:tc>
          <w:tcPr>
            <w:tcW w:w="1480" w:type="dxa"/>
            <w:vAlign w:val="bottom"/>
            <w:gridSpan w:val="4"/>
          </w:tcPr>
          <w:p>
            <w:pPr>
              <w:ind w:left="200"/>
              <w:spacing w:after="0"/>
              <w:rPr>
                <w:sz w:val="20"/>
                <w:szCs w:val="20"/>
                <w:color w:val="auto"/>
              </w:rPr>
            </w:pPr>
            <w:r>
              <w:rPr>
                <w:rFonts w:ascii="Arial" w:cs="Arial" w:eastAsia="Arial" w:hAnsi="Arial"/>
                <w:sz w:val="14"/>
                <w:szCs w:val="14"/>
                <w:b w:val="1"/>
                <w:bCs w:val="1"/>
                <w:color w:val="auto"/>
              </w:rPr>
              <w:t>Gross unrealized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96"/>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28,593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contractual maturity of all securities held at March 31, 2018 was one year or less. There were 30 and seven investments in an unrealized loss position at March 31, 2018 and December 31, 2017, respectively, none of which had been in an unrealized loss position for more than twelve months. The aggregate fair value of the securities in an unrealized loss position at March 31, 2018 and December 31, 2017 was $86.3 million and $19.3 million, respectively. The Company reviews its investments for other-than-temporary impairment whenever the fair value of an investment is less than amortized cost and evidence indicates that an investment’s carrying</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March 31, 2018.</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Gross realized gains and losses on the sales of investments have not been material to the Company’s consolidated statement of operations.</w:t>
      </w:r>
    </w:p>
    <w:p>
      <w:pPr>
        <w:spacing w:after="0" w:line="354"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(in thousands):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7,017</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12,898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(3,115)</w:t>
            </w:r>
          </w:p>
        </w:tc>
      </w:tr>
      <w:tr>
        <w:trPr>
          <w:trHeight w:val="223"/>
        </w:trPr>
        <w:tc>
          <w:tcPr>
            <w:tcW w:w="5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9,783</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At March 31, 2018 and December 31, 2017, leasehold improvements include $6.6 million and $1.3 million of lessor-paid tenant improvements for which the Company was deemed to be the accounting owner of the tenant improvements primarily because it was responsible for project cost overruns. Also, at December 31, 2017, construction in progress contained $5.0 million of lessor-paid tenant improvements that were placed in service in the first quarter of 2018, for which the Company was deemed to be the accounting owner primarily because it was responsible for project cost overruns.</w:t>
      </w:r>
    </w:p>
    <w:p>
      <w:pPr>
        <w:spacing w:after="0" w:line="154"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The Company has entered into leases for certain laboratory equipment which were capital leases. The leases had either a present value of expected payments in excess of 90% of the fair value of the equipment or a bargain purchase option at the end of the lease. As such, as of March 31, 2018 and December 31, 2017 the Company had $1.3 million and $1.4 million, respectively, of assets under a capital lease, having accumulated depreciation of $0.2 million in both periods.</w:t>
      </w:r>
    </w:p>
    <w:p>
      <w:pPr>
        <w:spacing w:after="0" w:line="291"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consists of the following (in thousands):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75"/>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Payroll related</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Other accrued expenses include $1.3 million and $31,000 in partially-completed fixed assets recorded in construction in progress at March 31, 2018 and December 31, 2017,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349"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Company’s common stock has the following characteristics:</w:t>
      </w:r>
    </w:p>
    <w:p>
      <w:pPr>
        <w:spacing w:after="0" w:line="117" w:lineRule="exact"/>
        <w:rPr>
          <w:rFonts w:ascii="Arial" w:cs="Arial" w:eastAsia="Arial" w:hAnsi="Arial"/>
          <w:sz w:val="18"/>
          <w:szCs w:val="18"/>
          <w:b w:val="1"/>
          <w:bCs w:val="1"/>
          <w:color w:val="auto"/>
        </w:rPr>
      </w:pPr>
    </w:p>
    <w:p>
      <w:pPr>
        <w:ind w:left="1040" w:hanging="519"/>
        <w:spacing w:after="0"/>
        <w:tabs>
          <w:tab w:leader="none" w:pos="10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holders of shares of common stock are entitled to one vote for each share of common stock held at all meetings of stockholders.</w:t>
      </w:r>
    </w:p>
    <w:p>
      <w:pPr>
        <w:spacing w:after="0" w:line="128" w:lineRule="exact"/>
        <w:rPr>
          <w:rFonts w:ascii="Arial" w:cs="Arial" w:eastAsia="Arial" w:hAnsi="Arial"/>
          <w:sz w:val="17"/>
          <w:szCs w:val="17"/>
          <w:color w:val="auto"/>
        </w:rPr>
      </w:pPr>
    </w:p>
    <w:p>
      <w:pPr>
        <w:ind w:left="1040" w:right="400" w:hanging="519"/>
        <w:spacing w:after="0" w:line="277"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holders of shares of common stock are entitled to receive dividends, if and when, declared by the Company’s board of directors. Since inception, no cash dividends have been declared.</w:t>
      </w:r>
    </w:p>
    <w:p>
      <w:pPr>
        <w:spacing w:after="0" w:line="170" w:lineRule="exact"/>
        <w:rPr>
          <w:sz w:val="20"/>
          <w:szCs w:val="20"/>
          <w:color w:val="auto"/>
        </w:rPr>
      </w:pPr>
    </w:p>
    <w:p>
      <w:pPr>
        <w:jc w:val="both"/>
        <w:ind w:right="140" w:firstLine="518"/>
        <w:spacing w:after="0" w:line="302" w:lineRule="auto"/>
        <w:rPr>
          <w:sz w:val="20"/>
          <w:szCs w:val="20"/>
          <w:color w:val="auto"/>
        </w:rPr>
      </w:pPr>
      <w:r>
        <w:rPr>
          <w:rFonts w:ascii="Arial" w:cs="Arial" w:eastAsia="Arial" w:hAnsi="Arial"/>
          <w:sz w:val="16"/>
          <w:szCs w:val="16"/>
          <w:color w:val="auto"/>
        </w:rPr>
        <w:t>On January 26, 2018, the Company sold 5,130,000 shares of its common stock through a firm commitment, underwritten public offering at a price to the public of $9.75 per share. On January 31, 2018, the underwriters elected to exercise their option to purchase 769,500 additional shares of common stock at the public offering price, less underwriting discounts and commissions. As a result of the offering, including the exercise of the overallotment option, the Company received aggregate net proceeds of $53.8 million, after underwriting discounts and commissions and other offering expenses.</w:t>
      </w:r>
    </w:p>
    <w:p>
      <w:pPr>
        <w:spacing w:after="0" w:line="15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At March 31, 2018, the Company held repurchase or forfeiture rights relating to 360,527 shares of common stock. The repurchase rights are at a price equal to the initial purchase price by the founders of Private Synlogic, adjusted by the Merger Exchange Ratio. The repurchase right lapses over time and is exercisable should the founders cease providing services to the Company prior to the end of a four-year period which began in April or May 2014, as the case may be. The forfeiture right lapses over time and is triggered when a holder ceases providing services to the Company. As of March 31, 2018 and December 31, 2017, the Company has exercised its repurchase right as to 41,819 shares of common stock and 16,111 shares of common stock have been forfeited back to the Company.</w:t>
      </w:r>
    </w:p>
    <w:p>
      <w:pPr>
        <w:spacing w:after="0" w:line="297"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of Synlogic, Inc.</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Company’s preferred stock may be issued from time to time in one or more series, with each such series to consist of such number of shares and to have such terms as adopted by the board of directors. Authority is given to the board of directors to determine and fix such voting powers, full or limited, or no voting powers, and such designations, preferences and relative participating, optional or other special rights, and qualifications, limitation or restrictions thereof, including without limitation, dividend rights, conversion rights, redemption privileges and liquidation preferences. At March 31, 2018 and December 31, 2017, no shares of preferred stock had been issued.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of Private Synlogic</w:t>
      </w:r>
    </w:p>
    <w:p>
      <w:pPr>
        <w:spacing w:after="0" w:line="117" w:lineRule="exact"/>
        <w:rPr>
          <w:sz w:val="20"/>
          <w:szCs w:val="20"/>
          <w:color w:val="auto"/>
        </w:rPr>
      </w:pPr>
    </w:p>
    <w:p>
      <w:pPr>
        <w:ind w:right="340" w:firstLine="518"/>
        <w:spacing w:after="0" w:line="286" w:lineRule="auto"/>
        <w:rPr>
          <w:sz w:val="20"/>
          <w:szCs w:val="20"/>
          <w:color w:val="auto"/>
        </w:rPr>
      </w:pPr>
      <w:r>
        <w:rPr>
          <w:rFonts w:ascii="Arial" w:cs="Arial" w:eastAsia="Arial" w:hAnsi="Arial"/>
          <w:sz w:val="17"/>
          <w:szCs w:val="17"/>
          <w:color w:val="auto"/>
        </w:rPr>
        <w:t>Prior to the Merger, Private Synlogic had contingently redeemable preferred stock and three series of convertible preferred stock. On the Merger Closing Date, Mirna issued shares of its common stock to holders of these shares, at an exchange rate of 0.5532 shares of common stock, after taking into account the Reverse Stock Split, in exchange for each share of preferred stock outstanding immediately prior to the Merger.</w:t>
      </w:r>
    </w:p>
    <w:p>
      <w:pPr>
        <w:spacing w:after="0" w:line="166"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Pursuant to, and at the time of, the 2017 Reorganization, preferred stock was granted to all holders of preferred units. The Private Synlogic preferred stock had substantially similar rights and preferences as the preferred units, except that the preferred stock was convertible into common stock at the option of the holder, on a one-for-one basis, subject to an anti-dilution adjustment. Conversion of the preferred stock would have been automatically triggered upon a firm-commitment underwritten public offering or upon a supermajority preferred interest vote. For a description of the rights and preferences of the preferred stock of Private Synlogic, refer to the Company’s Annual Report on Form 10-K filed with the SEC on March 20, 2018.</w:t>
      </w:r>
    </w:p>
    <w:p>
      <w:pPr>
        <w:spacing w:after="0" w:line="26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Units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Prior to the 2017 Reorganization, the Company had one class of contingently redeemable preferred units and two classes of convertible preferred units.</w:t>
      </w:r>
    </w:p>
    <w:p>
      <w:pPr>
        <w:spacing w:after="0" w:line="248" w:lineRule="exact"/>
        <w:rPr>
          <w:sz w:val="20"/>
          <w:szCs w:val="20"/>
          <w:color w:val="auto"/>
        </w:rPr>
      </w:pPr>
    </w:p>
    <w:p>
      <w:pPr>
        <w:jc w:val="both"/>
        <w:ind w:right="220" w:firstLine="518"/>
        <w:spacing w:after="0" w:line="259" w:lineRule="auto"/>
        <w:rPr>
          <w:sz w:val="20"/>
          <w:szCs w:val="20"/>
          <w:color w:val="auto"/>
        </w:rPr>
      </w:pPr>
      <w:r>
        <w:rPr>
          <w:rFonts w:ascii="Arial" w:cs="Arial" w:eastAsia="Arial" w:hAnsi="Arial"/>
          <w:sz w:val="18"/>
          <w:szCs w:val="18"/>
          <w:color w:val="auto"/>
        </w:rPr>
        <w:t>Pursuant to the 2015 Reorganization, each share of the Company’s Series A Preferred Stock and Series A Contingently Redeemable Preferred Stock was exchanged for a like type and number of the Company’s Class A Preferred Units and Contingently Redeemable Class A Preferred Units, respectively. Refer to the Company’s Annual Report on Form 10-K filed with the SEC on March 20, 2018, for detail on the rights and preferences of Private Synlogic’s Preferred Units.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390" w:lineRule="exact"/>
        <w:rPr>
          <w:sz w:val="20"/>
          <w:szCs w:val="20"/>
          <w:color w:val="auto"/>
        </w:rPr>
      </w:pPr>
    </w:p>
    <w:p>
      <w:pPr>
        <w:ind w:left="520" w:hanging="512"/>
        <w:spacing w:after="0" w:line="207" w:lineRule="exact"/>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 and Equity Incentive Plans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 is displaying all equity in its post-Merger amounts, as impacted by the Exchange Ratio.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a number of equity plans, two of which are currently active.</w:t>
      </w:r>
    </w:p>
    <w:p>
      <w:pPr>
        <w:spacing w:after="0" w:line="225" w:lineRule="exact"/>
        <w:rPr>
          <w:sz w:val="20"/>
          <w:szCs w:val="20"/>
          <w:color w:val="auto"/>
        </w:rPr>
      </w:pPr>
    </w:p>
    <w:p>
      <w:pPr>
        <w:ind w:right="80" w:firstLine="518"/>
        <w:spacing w:after="0" w:line="219" w:lineRule="exact"/>
        <w:rPr>
          <w:sz w:val="20"/>
          <w:szCs w:val="20"/>
          <w:color w:val="auto"/>
        </w:rPr>
      </w:pPr>
      <w:r>
        <w:rPr>
          <w:rFonts w:ascii="Arial" w:cs="Arial" w:eastAsia="Arial" w:hAnsi="Arial"/>
          <w:sz w:val="16"/>
          <w:szCs w:val="16"/>
          <w:color w:val="auto"/>
        </w:rPr>
        <w:t>The 2015 Equity Incentive Award Plan (the “2015 Plan”) was adopted by Mirna in 2015 and remains active after the Merger, now functioning as the primary equity plan for the Company. The 2015 Plan provides for the granting of a variety of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awards, including stock options, stock appreciation rights, restricted stock awards, restricted stock unit awards, deferred stock awards, dividend equivalent awards, stock payment awards, performance awards and other stock</w:t>
      </w:r>
      <w:r>
        <w:rPr>
          <w:rFonts w:ascii="MS PGothic" w:cs="MS PGothic" w:eastAsia="MS PGothic" w:hAnsi="MS PGothic"/>
          <w:sz w:val="16"/>
          <w:szCs w:val="16"/>
          <w:color w:val="auto"/>
        </w:rPr>
        <w:t>‑</w:t>
      </w:r>
      <w:r>
        <w:rPr>
          <w:rFonts w:ascii="Arial" w:cs="Arial" w:eastAsia="Arial" w:hAnsi="Arial"/>
          <w:sz w:val="16"/>
          <w:szCs w:val="16"/>
          <w:color w:val="auto"/>
        </w:rPr>
        <w:t>based awards.. Pursuant to the evergreen provision of the 2015 Plan, which allows for an annual increase in the number of shares of common stock available for issuance, the Company added 813,630 shares to the 2015 Plan on January 1, 2018.</w:t>
      </w:r>
    </w:p>
    <w:p>
      <w:pPr>
        <w:spacing w:after="0" w:line="204"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2017 Stock Incentive Plan (the “2017 Plan”) was adopted by Private Synlogic in 2017 at the time of the 2017 Reorganization and assumed by the Company during the Merger. The 2017 Plan provides for the grant of incentive stock options, non-qualified stock options, restricted and unrestricted stock awards and other stock-based awards.</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As of March 31, 2018, there were 425,133 shares available for future grant under the Company’s two active equity incentive plans, the 2017 Plan and the 2015 Plan.</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 xml:space="preserve">For a full description of the Company’s equity plans, refer to Note 12, </w:t>
      </w:r>
      <w:r>
        <w:rPr>
          <w:rFonts w:ascii="Arial" w:cs="Arial" w:eastAsia="Arial" w:hAnsi="Arial"/>
          <w:sz w:val="18"/>
          <w:szCs w:val="18"/>
          <w:i w:val="1"/>
          <w:iCs w:val="1"/>
          <w:color w:val="auto"/>
        </w:rPr>
        <w:t>Equity-based Compensation and Equity Plans</w:t>
      </w:r>
      <w:r>
        <w:rPr>
          <w:rFonts w:ascii="Arial" w:cs="Arial" w:eastAsia="Arial" w:hAnsi="Arial"/>
          <w:sz w:val="18"/>
          <w:szCs w:val="18"/>
          <w:color w:val="auto"/>
        </w:rPr>
        <w:t xml:space="preserve"> in the Company’s Annual Report on Form 10-K filed with the SEC on March 20,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There were no options issued during the three months ended March 31, 2017. The following table summarizes stock option activity during the three months ended March 31, 2018, as adjusted for the Exchange Ratio under the 2015 Plan and the 2017 Plan.</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14"/>
                <w:szCs w:val="14"/>
                <w:b w:val="1"/>
                <w:bCs w:val="1"/>
                <w:color w:val="auto"/>
                <w:w w:val="99"/>
              </w:rPr>
              <w:t>Stock options outstanding</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exercise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2"/>
                <w:szCs w:val="12"/>
                <w:b w:val="1"/>
                <w:bCs w:val="1"/>
                <w:color w:val="auto"/>
                <w:w w:val="91"/>
              </w:rPr>
              <w:t>(a)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term</w:t>
            </w:r>
          </w:p>
        </w:tc>
        <w:tc>
          <w:tcPr>
            <w:tcW w:w="22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1,267,221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479,096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(4,790)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1,741,527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Vested or expected to vest at March 31, 2018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1,741,527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March 31,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198,944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60" w:right="20" w:hanging="385"/>
        <w:spacing w:after="0" w:line="26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options and the fair market value of the underlying common stock for the options that were in the money at March 31, 2018 and December 31, 2017. No options were in the money at March 31, 2018 or December 31, 2017.</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As of March 31, 2018, there was $11.4 million of unrecognized share-based compensation related to employees for unvested stock option grants which is expected to be recognized over a weighted average period of 3.1 years. The total unrecognized share-based compensation cost will be adjusted for actual forfeitures as they occur. In addition, there was $0.1 million of unrecognized share-based compensation, related to unvested stock option grants to non-employees which is expected to be recognized over a weighted average period of 0.7 years. The amount of equity-based compensation expense related to non-employees that will ultimately be recorded will depend on the remeasurement of the outstanding awards through their vesting 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restricted stock activity during the three months ended March 31, 2018:</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080" w:type="dxa"/>
            <w:vAlign w:val="bottom"/>
            <w:gridSpan w:val="5"/>
          </w:tcPr>
          <w:p>
            <w:pPr>
              <w:ind w:left="760"/>
              <w:spacing w:after="0"/>
              <w:rPr>
                <w:sz w:val="20"/>
                <w:szCs w:val="20"/>
                <w:color w:val="auto"/>
              </w:rPr>
            </w:pPr>
            <w:r>
              <w:rPr>
                <w:rFonts w:ascii="Arial" w:cs="Arial" w:eastAsia="Arial" w:hAnsi="Arial"/>
                <w:sz w:val="14"/>
                <w:szCs w:val="14"/>
                <w:b w:val="1"/>
                <w:bCs w:val="1"/>
                <w:color w:val="auto"/>
              </w:rPr>
              <w:t>Restricted stock awards</w:t>
            </w:r>
          </w:p>
        </w:tc>
      </w:tr>
      <w:tr>
        <w:trPr>
          <w:trHeight w:val="146"/>
        </w:trPr>
        <w:tc>
          <w:tcPr>
            <w:tcW w:w="49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57"/>
              <w:spacing w:after="0" w:line="147" w:lineRule="exact"/>
              <w:rPr>
                <w:sz w:val="20"/>
                <w:szCs w:val="20"/>
                <w:color w:val="auto"/>
              </w:rPr>
            </w:pPr>
            <w:r>
              <w:rPr>
                <w:rFonts w:ascii="Arial" w:cs="Arial" w:eastAsia="Arial" w:hAnsi="Arial"/>
                <w:sz w:val="14"/>
                <w:szCs w:val="14"/>
                <w:b w:val="1"/>
                <w:bCs w:val="1"/>
                <w:color w:val="auto"/>
                <w:w w:val="94"/>
              </w:rPr>
              <w:t>Grant date</w:t>
            </w:r>
          </w:p>
        </w:tc>
        <w:tc>
          <w:tcPr>
            <w:tcW w:w="80" w:type="dxa"/>
            <w:vAlign w:val="bottom"/>
          </w:tcPr>
          <w:p>
            <w:pPr>
              <w:spacing w:after="0"/>
              <w:rPr>
                <w:sz w:val="12"/>
                <w:szCs w:val="12"/>
                <w:color w:val="auto"/>
              </w:rPr>
            </w:pPr>
          </w:p>
        </w:tc>
      </w:tr>
      <w:tr>
        <w:trPr>
          <w:trHeight w:val="162"/>
        </w:trPr>
        <w:tc>
          <w:tcPr>
            <w:tcW w:w="4900" w:type="dxa"/>
            <w:vAlign w:val="bottom"/>
          </w:tcPr>
          <w:p>
            <w:pPr>
              <w:spacing w:after="0"/>
              <w:rPr>
                <w:sz w:val="14"/>
                <w:szCs w:val="14"/>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fair value</w:t>
            </w:r>
          </w:p>
        </w:tc>
      </w:tr>
      <w:tr>
        <w:trPr>
          <w:trHeight w:val="171"/>
        </w:trPr>
        <w:tc>
          <w:tcPr>
            <w:tcW w:w="4900" w:type="dxa"/>
            <w:vAlign w:val="bottom"/>
          </w:tcPr>
          <w:p>
            <w:pPr>
              <w:spacing w:after="0"/>
              <w:rPr>
                <w:sz w:val="14"/>
                <w:szCs w:val="14"/>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2017</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375,479</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(55,313)</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2018</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320,166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As of March 31, 2018, there was $0.5 million of unrecognized share-based compensation related to restricted stock awards granted to employees, which is expected to be recognized over a weighted average period of 1.9 years. The total unrecognized share-based compensation cost will be adjusted for actual forfeitures as they occur. In addition, there was $33,000 of unrecognized share-based compensation, related to unvested restricted stock awards granted to non-employees which is expected to be recognized over a weighted average period of 0.4 years.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Prior to the 2017 Reorganization described above, incentive units were issued by Synlogic, LLC under the 2015 LLC Plan.</w:t>
      </w:r>
    </w:p>
    <w:p>
      <w:pPr>
        <w:spacing w:after="0" w:line="225"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No incentive units were issued during the three months ended March 31, 2017. In May 2017, all incentive units were cancelled pursuant to the 2017 Reorganization and reissued as restricted common stock. As a result, there was no unrecognized compensation expense related to incentive units as of March 31,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Units</w:t>
      </w:r>
    </w:p>
    <w:p>
      <w:pPr>
        <w:spacing w:after="0" w:line="117"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Prior to the 2017 Reorganization described above, restricted common unit awards were issued by Synlogic, LLC under the 2015 LLC Plan. No restricted common unit awards were issued during the three months ended March 31, 2017. In May 2017, the restricted common unit award was cancelled pursuant to the 2017 Reorganization and reissued as restricted common stock. As a result, there was no unrecognized compensation expense related to unvested restricted common units as of March 31,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The Company recorded total equity-based compensation expense of $0.9 million and $0.1 million during the three months ended March 31, 2018 and 2017, respectively. Equity compensation during the three months ended March 31, 2018 is derived from stock options and restricted stock awards, while equity compensation during the three months ended March 31, 2017 was derived from incentive units and restricted common units.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00" w:firstLine="518"/>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within the Company’s consolidated statements of operations and comprehensive loss for the three months ended March 31, 2018 and 2017 (in thousands):</w:t>
      </w:r>
    </w:p>
    <w:p>
      <w:pPr>
        <w:spacing w:after="0" w:line="30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600" w:type="dxa"/>
            <w:vAlign w:val="bottom"/>
            <w:gridSpan w:val="4"/>
          </w:tcPr>
          <w:p>
            <w:pPr>
              <w:jc w:val="right"/>
              <w:ind w:right="65"/>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8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2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540" w:firstLine="518"/>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type of award for the three months ended March 31, 2018 and 2017 (in thousands):</w:t>
      </w:r>
    </w:p>
    <w:p>
      <w:pPr>
        <w:spacing w:after="0" w:line="27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600" w:type="dxa"/>
            <w:vAlign w:val="bottom"/>
            <w:gridSpan w:val="4"/>
          </w:tcPr>
          <w:p>
            <w:pPr>
              <w:jc w:val="right"/>
              <w:ind w:right="65"/>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8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Incentive units</w:t>
            </w: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825"/>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common units</w:t>
            </w: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2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AbbVie Collaboration Agreement</w:t>
      </w:r>
    </w:p>
    <w:p>
      <w:pPr>
        <w:spacing w:after="0" w:line="135"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In July 2015, the Company entered into the AbbVie Agreement under which the Company granted AbbVie an exclusive option to purchase IBDCo and, in exchange, agreed to collaborate in researching and developing an Investigatory New Drug (“IND”) candidate for the treatment of IBD. The AbbVie Agreement sets forth the Company’s and AbbVie’s respective obligations for development and delivery of an IND candidate package using reasonable commercial efforts.</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exchange for the exclusive option to acquire IBDCo, initial research and development services for drug discovery and pre-clinical development, and participation on the joint research committee (“JRC”), AbbVie agreed to pay IBDCo an upfront, nonrefundable cash payment of $2.0 million, which IBDCo received in December 2015. AbbVie also agreed to pay IBDCo up to $16.5 million in milestone payments associated with specified research and pre-clinical events, which were determined to represent customer options for accounting purposes, as well as an option exercise fee upon the execution of their option to buy IBDCo and other royalty and milestone payments. The upfront cash payment and any payments for option fees and royalties are non-refundable, non-creditable and not subject to set-off.</w:t>
      </w:r>
    </w:p>
    <w:p>
      <w:pPr>
        <w:spacing w:after="0" w:line="193"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research and development will be performed by the Company over an estimated period of 54 months according to four phases of research defined in the research plan. The Company is eligible to receive payments from AbbVie upon the election to continue the research and development at the achievement of certain milestone events. The JRC will make a determination as to the continuation of the collaboration at the achievement of research and pre-clinical milestones, except for the final milestone, which AbbVie has the discretion to determine achievement without the approval of the JRC. If the parties make the determination to continue on with the AbbVie Agreement upon achievement of each milestone event, then AbbVie will pay the consideration associated with that milestone and the collaboration will continue through the remaining term of the option to purchase IBDCo, which is 54 months. However, AbbVie has the right to terminate the contract at any time with 90-days’ notice.</w:t>
      </w:r>
    </w:p>
    <w:p>
      <w:pPr>
        <w:spacing w:after="0" w:line="17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Company assessed this arrangement in accordance with ASC 606 and concluded that the contract counterparty, AbbVie, is a customer. The Company identified the following material promises at the outset of the arrangement: (1) a non-exclusive royalty-free research and development license; (2) research and development services for pre-clinical activities under the research plan through to the first research and development phase (or an estimated 17 months); (3) three option rights for AbbVie to continue the collaboration as related to three phases of research and development; (4) participation on the JRC; and (5) the transfer of ownership of IBDCo upon exercise of the option to buy IBDCo. The Company determined that the license and research and development activities were not distinct from one another. Participation on the JRC to oversee the research and development activities was determined to be quantitatively and qualitatively immaterial and therefore is excluded from performance obligations. As such, the Company determined that the license and research and development services should be combined into a single performance obligation.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The Company evaluated the milestone payments, which represent customer options as described above, and the option to purchase IBDCo, to determine whether they provide AbbVie with any material rights. The Company concluded that the options were not issued at a significant and incremental discount, and therefore do not provide material rights. As such, they were excluded as performance obligations at the outset of the arrangement. If AbbVie elects to exercise the options, the additional consideration will be added to the transaction price and allocated to the resulting performance obligations.</w:t>
      </w:r>
    </w:p>
    <w:p>
      <w:pPr>
        <w:spacing w:after="0" w:line="154"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Based on these assessments, the Company identified one performance obligation at the outset of the AbbVie Agreement, which consists of: (1) the non-exclusive license and (2) the research and development activities through the first research and development phase.</w:t>
      </w:r>
    </w:p>
    <w:p>
      <w:pPr>
        <w:spacing w:after="0" w:line="14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At the outset of the arrangement, the transaction price includes only the $2.0 million up-front consideration received which was allocated to the single performance obligation. The option exercise fees ($16.5 million for the milestones and the IBDCo purchase option exercise fee) that may be received are excluded from the transaction price until each customer option is exercised. The Company will reevaluate the transaction price at the end of each reporting period and as uncertain events are resolved or other changes in circumstances occur, and, if necessary, adjust its estimate of the transaction price.</w:t>
      </w:r>
    </w:p>
    <w:p>
      <w:pPr>
        <w:spacing w:after="0" w:line="154"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In May 2017, the Company completed the research and development services for the first phase of the research plan and was paid $2.0 million to commence the second phase of the research plan. At this time, the $2.0 million was added to the transaction price and allocated to a new performance obligation consisting of the underlying license and research and development services to be performed over the second phase of the research plan. Upon the Company’s completion of these activities, AbbVie has the ability to continue the collaboration and make additional payments based on the achievement of specific events outlined in the AbbVie agreement.</w:t>
      </w:r>
    </w:p>
    <w:p>
      <w:pPr>
        <w:spacing w:after="0" w:line="229"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Revenue associated with these performance obligations is recognized as the research and development services are provided using an input method, according to the FTEs incurred. The research and development activities are expected to be performed over a period of 54 months. The transfer of control occurs over time and, in management’s judgment, is the best measure of progress towards satisfying the performance obligation. The amounts received that have not yet been recognized as revenue are recorded in deferred revenue on the Company’s condensed consolidated balance sheet.</w:t>
      </w:r>
    </w:p>
    <w:p>
      <w:pPr>
        <w:spacing w:after="0" w:line="154"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Through March 31, 2018, the Company had recognized revenue of $3.6 million as collaboration revenue in the Company’s consolidated statements of operations and comprehensive loss under the AbbVie Agreement. Deferred revenue related to the AbbVie Agreement amounted to $0.4 million as of March 31, 2018, all of which is included in current liabilities.</w:t>
      </w:r>
    </w:p>
    <w:p>
      <w:pPr>
        <w:spacing w:after="0" w:line="285"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Share/Unit</w:t>
      </w:r>
    </w:p>
    <w:p>
      <w:pPr>
        <w:spacing w:after="0" w:line="12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Basic net loss per share/unit is computed using the weighted-average number of shares of common stock/units outstanding during the period. Diluted net loss per share/unit is computed using the sum of the weighted-average number of shares of common stock/units outstanding during the period and if dilutive, the weighted-average number of potential shares of common stock/units, including unvested restricted common stock/units and outstanding stock options.</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computed basic and diluted net loss per share/unit using the two-class method, which gives effect to the impact of outstanding participating securities. As the three months ended March 31, 2018 and 2017 resulted in net losses attributable to common stockholders/unit holders, there is no income allocation required under the two-class method or dilution attributed to weighted-average shares outstanding in the calculation of diluted net loss per share/unit because the preferred stockholders/unit holders do not participate in losses of the Company. Accordingly, for periods in which the Company reports a net loss attributable to common stockholders/unit holders, diluted net loss per share/unit attributable to common stockholders/unit holders is the same as basic net loss per share/unit attributable to common stockholders/unit holders, since dilutive common stock/units are not assumed to have been issued if their effect is anti-dilutive.</w:t>
      </w:r>
    </w:p>
    <w:p>
      <w:pPr>
        <w:spacing w:after="0" w:line="216"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The Company’s potentially dilutive shares/units, which include outstanding stock options and unvested restricted common stock/units, are considered to be common share/unit equivalents and are only included in the calculation of diluted net loss per share/unit when their effect is dilutive.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following potential common shares/units, presented based on amounts outstanding at each period end, were excluded from the calculation of the diluted net loss per share/unit attributable to common stockholders/unit holders for the period indicated because including them would have had an anti-dilutive effect.</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680" w:type="dxa"/>
            <w:vAlign w:val="bottom"/>
            <w:gridSpan w:val="3"/>
          </w:tcPr>
          <w:p>
            <w:pPr>
              <w:ind w:left="700"/>
              <w:spacing w:after="0"/>
              <w:rPr>
                <w:sz w:val="20"/>
                <w:szCs w:val="20"/>
                <w:color w:val="auto"/>
              </w:rPr>
            </w:pPr>
            <w:r>
              <w:rPr>
                <w:rFonts w:ascii="Arial" w:cs="Arial" w:eastAsia="Arial" w:hAnsi="Arial"/>
                <w:sz w:val="14"/>
                <w:szCs w:val="14"/>
                <w:b w:val="1"/>
                <w:bCs w:val="1"/>
                <w:color w:val="auto"/>
                <w:w w:val="92"/>
              </w:rPr>
              <w:t>As of March 31,</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5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common unit awards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196,425</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Unvested restricted common stock awards</w:t>
            </w:r>
          </w:p>
        </w:tc>
        <w:tc>
          <w:tcPr>
            <w:tcW w:w="1080" w:type="dxa"/>
            <w:vAlign w:val="bottom"/>
          </w:tcPr>
          <w:p>
            <w:pPr>
              <w:jc w:val="right"/>
              <w:spacing w:after="0"/>
              <w:rPr>
                <w:sz w:val="20"/>
                <w:szCs w:val="20"/>
                <w:color w:val="auto"/>
              </w:rPr>
            </w:pPr>
            <w:r>
              <w:rPr>
                <w:rFonts w:ascii="Arial" w:cs="Arial" w:eastAsia="Arial" w:hAnsi="Arial"/>
                <w:sz w:val="18"/>
                <w:szCs w:val="18"/>
                <w:color w:val="auto"/>
              </w:rPr>
              <w:t>320,166</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Outstanding 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1,741,527</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4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The Company’s commitments described in the Company’s consolidated financial statements as of and for the year ended December 31, 2017 and the notes thereto included in the Company’s Annual Report on Form 10-K filed with the SEC on March 20, 2018, have had no material changes during the three months ended March 31, 2018, except as described below.</w:t>
      </w:r>
    </w:p>
    <w:p>
      <w:pPr>
        <w:spacing w:after="0" w:line="181"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In July 2017, the Company entered into an agreement to lease approximately 41,346 square feet of laboratory and office space in Cambridge, Massachusetts. Annual rent is $3.1 million. The ten-year lease commenced in January 2018 and contains provisions for a free-rent period, annual rent increases and a landlord-paid allowance for tenant improvements of $6.6 million. In conjunction with the tenant improvements, the Company has made an additional commitment of $2.7 million, of which it has paid $1.7 million. In conjunction with the lease, the Company established a letter of credit of $1.0 million secured by cash balances included in restricted cash on the Company’s consolidated balance sheets.</w:t>
      </w:r>
    </w:p>
    <w:p>
      <w:pPr>
        <w:spacing w:after="0" w:line="17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July 2017, the Company entered into an agreement to terminate its existing lease of laboratory and office space in Cambridge, Massachusetts at a date that is 30 days after the commencement of its new lease. No penalties are associated with the termination of the lease. As a result of the agreement to terminate its lease, the Company revised its estimate of the remaining amortization period of the deferred rent and its estimate of the remaining useful life our leasehold improvements associated with the 200 Sidney Street facility from 63 months to seven months. The Company vacated the Sidney Street facility in February 2018.</w:t>
      </w:r>
    </w:p>
    <w:p>
      <w:pPr>
        <w:spacing w:after="0" w:line="373"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On April 10, 2018, the Company completed a registered direct offering of 3,280,000 shares at a price of $9.15 per share. After expenses, the Company generated approximately $28.9 million in net proceeds from the offering.</w:t>
      </w:r>
    </w:p>
    <w:p>
      <w:pPr>
        <w:spacing w:after="0" w:line="279"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On May 10, 2018, the Company announced the resignation of its President and Chief Executive Officer, Jose-Carlos Gutiérrez-Ramos. The Company expects to incur severance related costs, as well as additional non-cash equity-based compensation expense associated with the modification of certain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i w:val="1"/>
          <w:iCs w:val="1"/>
          <w:color w:val="auto"/>
        </w:rPr>
        <w:t>The interim financial statements and this Management’s Discussion and Analysis of Financial Condition and Results of Operations should be read together with our audited financial statements and accompanying notes for the year ended December 31, 2017 and 2016 included in our Annual Report on Form 10-K filed on March 20, 2018.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27 for a discussion of certain risk factors applicable to our business, financial condition, and results of operations. Operating results are not necessarily indicative of results that may occur for the full fiscal year or any other future period.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Offerings of Synlogic Common Stock</w:t>
      </w:r>
    </w:p>
    <w:p>
      <w:pPr>
        <w:spacing w:after="0" w:line="117"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In April 2018, we sold 3,280,000 shares of our common stock at a price of $9.15 per share in a registered direct offering. After expenses, we generated approximately $28.9 million in net proceeds from the offering.</w:t>
      </w:r>
    </w:p>
    <w:p>
      <w:pPr>
        <w:spacing w:after="0" w:line="170"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In January 2018, we sold 5,899,500 shares of our common stock through a firm commitment, underwritten public offering at a price to the public of $9.75 per share. As a result of the offering, including the exercise of the overallotment option, we received aggregate net proceeds, after underwriting discounts and commissions and other estimated offering expenses, of approximately $53.8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Mirna</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 xml:space="preserve">In August 2017, Synlogic, Inc., formerly known as Mirna Therapeutics, Inc. (NASDAQ: MIRN) (Mirna), completed its business combination with Synlogic, Inc. (Private Synlogic when referred to prior to the Merger) in accordance with the terms of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As part of the Merger, Mirna was renamed Synlogic, Inc. (Public Synlogic) and Private Synlogic was renamed Synlogic Operating Company, Inc. Following completion of the Merger, Private Synlogic, now known as Synlogic Operating Company, Inc., is the surviving corporation of the Merger and a wholly-owned subsidiary of Public Synlogic. The Merger was accounted for as a “reverse merger” under the acquisition method of accounting for business combinations with Private Synlogic treated as the accounting acquirer of Mirna. As a result of the Merger, historical common stock, stock options and additional paid-in capital, including share and per share amounts, were retroactively adjusted to reflect the equity structure of Public Synlogic, including the effect of the Merger exchange ratio and the Public Synlogic common stock par value of $0.001 per share. Pursuant to the terms of the Merger Agreement and after giving effect to a reverse stock split, at the effective time of the Merger (the Effective Time), each outstanding share of Private Synlogic capital stock was converted into the right to receive approximately 0.5532 shares of Mirna common stock (the Exchange Ratio). In addition, at the Effective Time, Mirna assumed all outstanding options to purchase shares of Private Synlogic common stock, which were exchanged for options to purchase shares of Mirna common stock, in each case appropriately adjusted based on the Exchange Ratio. Mirna also assumed the Synlogic 2017 Stock Incentive Plan (the 2017 Plan). See Note 3, </w:t>
      </w:r>
      <w:r>
        <w:rPr>
          <w:rFonts w:ascii="Arial" w:cs="Arial" w:eastAsia="Arial" w:hAnsi="Arial"/>
          <w:sz w:val="16"/>
          <w:szCs w:val="16"/>
          <w:i w:val="1"/>
          <w:iCs w:val="1"/>
          <w:color w:val="auto"/>
        </w:rPr>
        <w:t>Merger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Mirna Therapeutics, </w:t>
      </w:r>
      <w:r>
        <w:rPr>
          <w:rFonts w:ascii="Arial" w:cs="Arial" w:eastAsia="Arial" w:hAnsi="Arial"/>
          <w:sz w:val="16"/>
          <w:szCs w:val="16"/>
          <w:color w:val="auto"/>
        </w:rPr>
        <w:t>for additional discussion of the Merger and the Exchange Ratio.</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21"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We are a clinical-stage biopharmaceutical company focused on advancing our drug discovery and development platform for Synthetic Biotic™ medicines, which are designed using synthetic biology to genetically reprogram beneficial microbes to treat metabolic and inflammatory diseases and cancer. Synthetic Biotic medicines are generated from our proprietary drug discovery and development platform, applying the principles and tools of synthetic biology to engineer beneficial probiotic bacteria to perform or deliver critical therapeutic functions. As living medicines, Synthetic Biotic medicines can be designed to sense a local disease context within a patient’s body and to respond by metabolizing a toxic substance, compensating for missing or damaged metabolic pathways in patients, or by delivering combinations of therapeutic factors. Our goal is to lead in the discovery and development of Synthetic Biotic therapies as living medicines capable of robust and precise pathway complementation and delivery of therapeutic benefit.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ind w:right="160" w:firstLine="518"/>
        <w:spacing w:after="0" w:line="255" w:lineRule="auto"/>
        <w:rPr>
          <w:sz w:val="20"/>
          <w:szCs w:val="20"/>
          <w:color w:val="auto"/>
        </w:rPr>
      </w:pPr>
      <w:r>
        <w:rPr>
          <w:rFonts w:ascii="Arial" w:cs="Arial" w:eastAsia="Arial" w:hAnsi="Arial"/>
          <w:sz w:val="18"/>
          <w:szCs w:val="18"/>
          <w:color w:val="auto"/>
        </w:rPr>
        <w:t>Our initial focus is on metabolic diseases with the potential to be corrected following oral delivery of a living medicine to the gut. This includes a group of rare genetic diseases called inborn errors of metabolism (IEMs), as well as acquired metabolic diseases caused by organ dysfunction. When delivered orally, Synthetic Biotic medicines are designed to act from the gut to compensate for the dysfunctional metabolic pathway with the intended consequence of reducing the systemic levels of the toxic metabolites. We believe that success in IEMs will enable us to demonstrate the potential of our oral Synthetic Biotic medicines to address metabolic dysfunction while bringing meaningful change to the lives of patients suffering from these debilitating conditions.</w:t>
      </w:r>
    </w:p>
    <w:p>
      <w:pPr>
        <w:spacing w:after="0" w:line="193"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Our two lead therapeutic programs are being developed for the treatment of hyperammonemia and phenylketonuria (PKU). SYNB1020, our first therapeutic program, is an oral therapy intended for the treatment of patients with liver disease and hepatic encephalopathy (HE) and in patients with urea cycle disorders (UCD). In these conditions ammonia accumulates in the body and becomes toxic leading to neurocognitive crisis and risk of long-term cognitive or behavioral impairment, coma or death. SYNB1020 has received both Fast Track Designation and Orphan Drug Designation for UCD from the U.S. Food and Drug Administration (the FDA). We initiated a Phase 1 clinical trial in June 2017 to evaluate the safety and tolerability of SYNB1020 in healthy volunteers. In November 2017, we announced top-line data from this study that demonstrated that SYNB1020 was safe and well-tolerated and achieved proof of mechanism. In April 2018, we announced that we dosed the first patient in our Phase 1b / 2a clinical trial in patients with cirrhosis and elevated blood ammonia. This trial is designed to evaluate the safety and tolerability of SYNB1020 as well as the ability of SYNB1020 to lower systemic levels of ammonia. We also intend to conduct a clinical trial of SYNB1020 in UCD patients. Timing of initiation of this study will be informed by a number of factors including data from our Phase 1b / 2a study in patients with cirrhosis.</w:t>
      </w:r>
    </w:p>
    <w:p>
      <w:pPr>
        <w:spacing w:after="0" w:line="17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Our second program, SYNB1618, is an oral therapy intended for the treatment of PKU, an IEM in which the amino acid phenylalanine (Phe) accumulates in the body as a result of genetic defects. Elevated levels of Phe are toxic to the brain and can lead to neurological dysfunction. SYNB1618 is designed to function in the gut of patients to reduce excess circulating Phe, resulting in normalization of levels in the blood and tissues. SYNB1618 has received both Fast Track Designation and Orphan Drug Designation from the FDA. We dosed our first subject in a Phase 1 / 2a clinical trial of SYNB1618 in April 2018.</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early-stage metabolic pipeline includes discovery-stage product candidates for additional IEMs, including maple syrup urine disease (MSUD), isovaleric acidemia (IVA) and organic acidemias. These are rare metabolic deficiencies in which the toxic accumulation of metabolites such as branched chain amino acids in the case of MSUD can lead to neurological decline and death. There are no currently approved pharmaceutical therapies for these disorders, ultimately resulting in patients relying on liver transplants when possible.</w:t>
      </w:r>
    </w:p>
    <w:p>
      <w:pPr>
        <w:spacing w:after="0" w:line="187"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We are also leveraging our proprietary technology platform to develop Synthetic Biotic medicines to treat a broader range of human diseases, including acquired metabolic diseases, inflammation and cancer. Synthetic Biotic medicines are designed to deliver combinations of complementary therapeutics locally to treat these complex disease states. Our portfolio of immuno-oncology (IO) programs is designed to deliver a combination of activities to modify the tumor microenvironment, activate the immune system and facilitate tumor reduction. In 2018, we intend to select a Synthetic Biotic clinical candidate in our IO program and thereafter advance it into preclinical studies to enable filing of an IND application with the FDA.</w:t>
      </w:r>
    </w:p>
    <w:p>
      <w:pPr>
        <w:spacing w:after="0" w:line="17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have established a collaboration with Ginkgo Bioworks, a privately held synthetic biology company, to discover new living medicines to treat neurological and liver disorders. We also have a collaboration with AbbVie S.à.r.l. (AbbVie) to develop Synthetic Biotic medicines for the treatment of inflammatory bowel disease (IBD) such as Crohn’s disease and ulcerative colitis. We may consider entering into additional strategic partnerships in the future to maximize the value of our programs and our Synthetic Biotic platform.</w:t>
      </w:r>
    </w:p>
    <w:p>
      <w:pPr>
        <w:spacing w:after="0" w:line="18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currently operate in one reportable business segment—the discovery and development of Synthetic Biotic medicines. To date, we have dedicated substantially all of our activities to the research and development of our product candidates. We have received approximately $238.2 million in proceeds to date as we financed our operations through approximately $110.7 million in aggregate net proceeds from the sale of Private Synlogic preferred stock and Synlogic, LLC preferred units, approximately $0.4 million in a convertible promissory note with one of our investors, which was converted into Private Synlogic preferred stock, approximately $4.0 million in payments received under the AbbVie Agreement, approximately $40.4 million from our merger with Mirna, net of transaction costs, and approximately $82.7 million in total net proceeds from the sale of our common stock in our common stock offerings in January 2018 and April 2018.</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ind w:firstLine="518"/>
        <w:spacing w:after="0" w:line="279" w:lineRule="auto"/>
        <w:rPr>
          <w:sz w:val="20"/>
          <w:szCs w:val="20"/>
          <w:color w:val="auto"/>
        </w:rPr>
      </w:pPr>
      <w:r>
        <w:rPr>
          <w:rFonts w:ascii="Arial" w:cs="Arial" w:eastAsia="Arial" w:hAnsi="Arial"/>
          <w:sz w:val="17"/>
          <w:szCs w:val="17"/>
          <w:color w:val="auto"/>
        </w:rPr>
        <w:t>We have not generated any revenue to date from product sales and have incurred significant operating losses since our inception. We have incurred net losses of approximately $11.2 million and $7.4 million for the three months ended March 31, 2018 and 2017, respectively. As of March 31, 2018, we had an accumulated deficit of approximately $82.5 million, and we expect to incur losses for the foreseeable future as we develop our product candidates. We expect our expenses and capital requirements will increase substantially in connection with our ongoing activities, as we:</w:t>
      </w:r>
    </w:p>
    <w:p>
      <w:pPr>
        <w:spacing w:after="0" w:line="63"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complete preclinical studies, initiate and complete clinical trials for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to manufacture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and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expand our existing infrastructure and secure space in a facility to support continued growth in our research and development efforts;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operational and finance personnel to support product development efforts and to support operating as a public company.</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capital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 xml:space="preserve">Revenue to date is generated from our collaboration agreement with AbbVie. The collaboration agreement contains multiple deliverables, which include an exclusive option for AbbVie to acquire IBDCo and research and development milestones. See Note 12, </w:t>
      </w:r>
      <w:r>
        <w:rPr>
          <w:rFonts w:ascii="Arial" w:cs="Arial" w:eastAsia="Arial" w:hAnsi="Arial"/>
          <w:sz w:val="18"/>
          <w:szCs w:val="18"/>
          <w:i w:val="1"/>
          <w:iCs w:val="1"/>
          <w:color w:val="auto"/>
        </w:rPr>
        <w:t>AbbVie Collaboration</w:t>
      </w:r>
      <w:r>
        <w:rPr>
          <w:rFonts w:ascii="Arial" w:cs="Arial" w:eastAsia="Arial" w:hAnsi="Arial"/>
          <w:sz w:val="18"/>
          <w:szCs w:val="18"/>
          <w:color w:val="auto"/>
        </w:rPr>
        <w:t xml:space="preserve"> for a full discussion of the AbbVie Agreement. We expect our revenue to fluctuate for the foreseeable future as it is principally based on the achievement of research and development milestones under our collaboration agreement with AbbVie.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73"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benefits and other employee related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supplies to support our internal research and development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 and development related facility and depreciation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preclinical studies and regulatory operations.</w:t>
      </w:r>
    </w:p>
    <w:p>
      <w:pPr>
        <w:spacing w:after="0" w:line="225" w:lineRule="exact"/>
        <w:rPr>
          <w:sz w:val="20"/>
          <w:szCs w:val="20"/>
          <w:color w:val="auto"/>
        </w:rPr>
      </w:pPr>
    </w:p>
    <w:p>
      <w:pPr>
        <w:jc w:val="both"/>
        <w:ind w:right="140" w:firstLine="518"/>
        <w:spacing w:after="0" w:line="279" w:lineRule="auto"/>
        <w:rPr>
          <w:sz w:val="20"/>
          <w:szCs w:val="20"/>
          <w:color w:val="auto"/>
        </w:rPr>
      </w:pPr>
      <w:r>
        <w:rPr>
          <w:rFonts w:ascii="Arial" w:cs="Arial" w:eastAsia="Arial" w:hAnsi="Arial"/>
          <w:sz w:val="17"/>
          <w:szCs w:val="17"/>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3" w:name="page24"/>
    <w:bookmarkEnd w:id="23"/>
    <w:p>
      <w:pPr>
        <w:ind w:right="80" w:firstLine="518"/>
        <w:spacing w:after="0" w:line="308" w:lineRule="auto"/>
        <w:rPr>
          <w:sz w:val="20"/>
          <w:szCs w:val="20"/>
          <w:color w:val="auto"/>
        </w:rPr>
      </w:pPr>
      <w:r>
        <w:rPr>
          <w:rFonts w:ascii="Arial" w:cs="Arial" w:eastAsia="Arial" w:hAnsi="Arial"/>
          <w:sz w:val="17"/>
          <w:szCs w:val="17"/>
          <w:color w:val="auto"/>
        </w:rPr>
        <w:t xml:space="preserve">The successful development of our product candidates is highly uncertain and subject to a number of risks. Refer to the risk factors under the heading </w:t>
      </w:r>
      <w:r>
        <w:rPr>
          <w:rFonts w:ascii="Arial" w:cs="Arial" w:eastAsia="Arial" w:hAnsi="Arial"/>
          <w:sz w:val="17"/>
          <w:szCs w:val="17"/>
          <w:i w:val="1"/>
          <w:iCs w:val="1"/>
          <w:color w:val="auto"/>
        </w:rPr>
        <w:t xml:space="preserve">Risks Related to the Development of Our Product Candidates </w:t>
      </w:r>
      <w:r>
        <w:rPr>
          <w:rFonts w:ascii="Arial" w:cs="Arial" w:eastAsia="Arial" w:hAnsi="Arial"/>
          <w:sz w:val="17"/>
          <w:szCs w:val="17"/>
          <w:color w:val="auto"/>
        </w:rPr>
        <w:t>in Part II, Item 1A, found elsewhere in this Quarterly Report on Form 10-Q.</w:t>
      </w:r>
    </w:p>
    <w:p>
      <w:pPr>
        <w:spacing w:after="0" w:line="14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SYNB1020 and SYNB1618 programs to increase as the programs progress through and into clinical trials.</w:t>
      </w:r>
    </w:p>
    <w:p>
      <w:pPr>
        <w:spacing w:after="0" w:line="158"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0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SYNB1020</w:t>
            </w:r>
          </w:p>
        </w:tc>
        <w:tc>
          <w:tcPr>
            <w:tcW w:w="5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SYNB1618</w:t>
            </w: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1,085</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w w:val="97"/>
              </w:rPr>
              <w:t>External pre-development candidate expenses and unallocated expenses</w:t>
            </w:r>
          </w:p>
        </w:tc>
        <w:tc>
          <w:tcPr>
            <w:tcW w:w="5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2,176</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1,680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research and development expenses</w:t>
            </w:r>
          </w:p>
        </w:tc>
        <w:tc>
          <w:tcPr>
            <w:tcW w:w="5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4,675</w:t>
            </w:r>
          </w:p>
        </w:tc>
        <w:tc>
          <w:tcPr>
            <w:tcW w:w="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2,336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8,361</w:t>
            </w:r>
          </w:p>
        </w:tc>
        <w:tc>
          <w:tcPr>
            <w:tcW w:w="2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5,118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costs include the legal costs of pursuing patent protection of our intellectual property, general and administrative related facility and information technology infrastructure costs and professional fees for accounting and legal services. We anticipate increases in expenses related to operating as a public company. These increases include legal fees, accounting fees, costs for director and officer liability insurance, fees for investor relations services and costs associated with implementing and complying with corporate governance, internal controls and similar requirements applicable to public companies. We charge all general and administrative expenses to operations as incurred.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Interest and investment income consists primarily of interest income earned on investments. Interest expense consists of expense related to our capital leases. Other expense consists primarily of losses on foreign currency translation.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Our discussion and analysis of our financial condition and results of operations is based upon our consolidated financial statements prepared in accordance with generally accepted accounting principles in the U.S.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8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 xml:space="preserve">Our critical accounting policies are described in our 2017 Annual Report on Form 10-K filed with the SEC on March 20, 2018. During the three months ended March 31, 2018, there were no material changes to our critical accounting policies, other than revenue recognition due to our adoption of ASC 606 (as defined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unaudited consolidated financial statements appearing elsewhere in this Quarterly Report on Form 10-Q). We believe that these identified policies are critical to fully understanding and evaluating our financial condition and results of operations.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4" w:name="page25"/>
    <w:bookmarkEnd w:id="24"/>
    <w:p>
      <w:pPr>
        <w:ind w:right="60" w:firstLine="518"/>
        <w:spacing w:after="0" w:line="291" w:lineRule="auto"/>
        <w:rPr>
          <w:sz w:val="20"/>
          <w:szCs w:val="20"/>
          <w:color w:val="auto"/>
        </w:rPr>
      </w:pPr>
      <w:r>
        <w:rPr>
          <w:rFonts w:ascii="Arial" w:cs="Arial" w:eastAsia="Arial" w:hAnsi="Arial"/>
          <w:sz w:val="16"/>
          <w:szCs w:val="16"/>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discussion summarizes the key factors our management believes are necessary for an understanding of our consolidated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results.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Compared to Three Months Ended March 31, 2017</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120" w:type="dxa"/>
            <w:vAlign w:val="bottom"/>
            <w:gridSpan w:val="7"/>
          </w:tcPr>
          <w:p>
            <w:pPr>
              <w:ind w:left="6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960" w:type="dxa"/>
            <w:vAlign w:val="bottom"/>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200"/>
              <w:spacing w:after="0" w:line="133"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
              <w:spacing w:after="0" w:line="133" w:lineRule="exact"/>
              <w:rPr>
                <w:sz w:val="20"/>
                <w:szCs w:val="20"/>
                <w:color w:val="auto"/>
              </w:rPr>
            </w:pPr>
            <w:r>
              <w:rPr>
                <w:rFonts w:ascii="Arial" w:cs="Arial" w:eastAsia="Arial" w:hAnsi="Arial"/>
                <w:sz w:val="14"/>
                <w:szCs w:val="14"/>
                <w:b w:val="1"/>
                <w:bCs w:val="1"/>
                <w:color w:val="auto"/>
                <w:w w:val="92"/>
              </w:rPr>
              <w:t>March 31,</w:t>
            </w:r>
          </w:p>
        </w:tc>
        <w:tc>
          <w:tcPr>
            <w:tcW w:w="300" w:type="dxa"/>
            <w:vAlign w:val="bottom"/>
            <w:gridSpan w:val="2"/>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jc w:val="right"/>
              <w:ind w:right="48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1,262</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11,990</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5"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 xml:space="preserve">Revenue was $0.4 million for the three months ended March 31, 2018 as compared to $0.1 million for the three months ended March 31, 2017. The revenue for both periods is associated with the AbbVie collaboration. The increase in revenue of $0.3 million was the result of the adoption of ASC 606, as discussed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Research and development expense was $8.4 million for the three months ended March 31, 2018 compared to $5.1 million in the corresponding period in 2017. The increase in research and development expense of $3.2 million was primarily due to an increase of $1.3 million in compensation, benefits and other employee-related expenses associated with increased headcount and equity-based compensation, as well as external development costs of $1.4 million, of which $1.0 million is associated with our SYNB1618 program, and $0.8 million of research and development support costs. Support costs include increased rent and depreciation from our 301 Binney Street facility, which we occupied in February 2018. These increases were partially offset by decreases of $0.6 million in spending associated with our SYNB1020 program as our Phase 1 trial was completed.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General and administrative expense was $3.6 million for the three months ended March 31, 2018 compared to $2.4 million for the corresponding period in 2017. The increase of $1.3 million was primarily due to an increase of $0.8 million in compensation, benefits and other employee-related expenses associated with increased headcount and equity-based compensation, as well as $0.4 million associated with professional fees related to our public reporting activities, which include audit fees, investor relations,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5" w:name="page26"/>
    <w:bookmarkEnd w:id="25"/>
    <w:p>
      <w:pPr>
        <w:spacing w:after="0" w:line="264" w:lineRule="auto"/>
        <w:rPr>
          <w:sz w:val="20"/>
          <w:szCs w:val="20"/>
          <w:color w:val="auto"/>
        </w:rPr>
      </w:pPr>
      <w:r>
        <w:rPr>
          <w:rFonts w:ascii="Arial" w:cs="Arial" w:eastAsia="Arial" w:hAnsi="Arial"/>
          <w:sz w:val="18"/>
          <w:szCs w:val="18"/>
          <w:color w:val="auto"/>
        </w:rPr>
        <w:t>filing fees, $0.2 million in consulting and professional fees, and $0.2 million in support costs. Support costs include rent and depreciation from our 301 Binney Street facility, which we occupied in February 2018. The increases were partially offset by a decrease in $0.4 million in legal fees associated with both corporate and patent legal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Other income (expense) for the three months ended March 31, 2018 was $0.5 million compared to $8,000 for the corresponding period in 2017. The increase in other income (expense) was related to an increase in interest and investment income resulting from higher cash balances and higher interest rates generated by an investment account acquired during the Merger with Mirna. These increases were partially offset by an increase in interest expense associated with capital leases established during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We have incurred losses since our inception on March 14, 2014 and, as of March 31, 2018, we had an accumulated deficit of approximately $82.5 million. We have financed our operations to date primarily through the sale of preferred stock, common stock, preferred units, payments received under our AbbVie collaboration agreement, interest earned on investments, and cash received in the Merger. At March 31, 2018, we had approximately $125.8 million in cash, cash equivalents, and marketable securities. Our cash and cash equivalents include amounts held in money market funds and corporate debt securities, stated at cost plus accrued interest, which approximates fair market value. Our available-for-sale securities include amounts held in corporate debt securities.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79"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During the three months ended March 31, 2018, our cash, cash equivalents and marketable securities balance increased approximately $38.8 million. The increase was primarily due to the net proceeds of approximately $53.8 million, from the sale of our common stock in January 2018. The increase was partially offset by the cash used to operate our business, including payments related to, among other things, research and development and general and administrative expenses as we continued to invest in our primary drug candidates and support the development of our proprietary platform. We also made capital purchases and made payments on our capital leases.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major sources and uses of cash, cash equivalents and restricted cash for each of the periods below (in thousands):</w:t>
      </w:r>
    </w:p>
    <w:p>
      <w:pPr>
        <w:spacing w:after="0" w:line="32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56"/>
        </w:trPr>
        <w:tc>
          <w:tcPr>
            <w:tcW w:w="54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cash equivalents and restricted cash (used in)</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provided by:</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544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(13,031)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(6,904)</w:t>
            </w:r>
          </w:p>
        </w:tc>
      </w:tr>
      <w:tr>
        <w:trPr>
          <w:trHeight w:val="230"/>
        </w:trPr>
        <w:tc>
          <w:tcPr>
            <w:tcW w:w="5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(71,868)</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w:t>
            </w:r>
          </w:p>
        </w:tc>
      </w:tr>
      <w:tr>
        <w:trPr>
          <w:trHeight w:val="230"/>
        </w:trPr>
        <w:tc>
          <w:tcPr>
            <w:tcW w:w="54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53,644</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26,589</w:t>
            </w:r>
          </w:p>
        </w:tc>
        <w:tc>
          <w:tcPr>
            <w:tcW w:w="80" w:type="dxa"/>
            <w:vAlign w:val="bottom"/>
            <w:tcBorders>
              <w:bottom w:val="single" w:sz="8" w:color="CFF0FC"/>
            </w:tcBorders>
          </w:tcPr>
          <w:p>
            <w:pPr>
              <w:spacing w:after="0"/>
              <w:rPr>
                <w:sz w:val="19"/>
                <w:szCs w:val="19"/>
                <w:color w:val="auto"/>
              </w:rPr>
            </w:pPr>
          </w:p>
        </w:tc>
      </w:tr>
      <w:tr>
        <w:trPr>
          <w:trHeight w:val="20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(31,255)</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19,560</w:t>
            </w:r>
          </w:p>
        </w:tc>
        <w:tc>
          <w:tcPr>
            <w:tcW w:w="80" w:type="dxa"/>
            <w:vAlign w:val="bottom"/>
            <w:shd w:val="clear" w:color="auto" w:fill="CFF0FC"/>
          </w:tcPr>
          <w:p>
            <w:pPr>
              <w:spacing w:after="0"/>
              <w:rPr>
                <w:sz w:val="20"/>
                <w:szCs w:val="20"/>
                <w:color w:val="auto"/>
              </w:rPr>
            </w:pPr>
          </w:p>
        </w:tc>
      </w:tr>
      <w:tr>
        <w:trPr>
          <w:trHeight w:val="20"/>
        </w:trPr>
        <w:tc>
          <w:tcPr>
            <w:tcW w:w="54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Net cash used in operating activities was $13.0 million for the three months ended March 31, 2018. The primary use of cash was our net loss of $11.2 million and a decrease in working capital of $3.2 million, primarily related to decreases in accounts payable and accrued expenses. These uses of cash were partially offset by $1.4 million of non-cash items including depreciation and equity-based compensation.</w:t>
      </w:r>
    </w:p>
    <w:p>
      <w:pPr>
        <w:spacing w:after="0" w:line="18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Net cash used in operating activities was $6.9 million for the three months ended March 31, 2017. The primary use of cash was our net loss of $7.4 million. This use of cash was partially offset by non-cash items of $0.4 million related to equity compensation and depreciation, and an increase of $0.1 million in working capital primarily from an increase in prepaid research and development expenses and decreases in deferred revenue.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Net cash used in investing activities for the three months ended March 31, 2018 was $71.9 million and resulted primarily from the purchases of securities of $75.0 million and the purchases of property and equipment of $1.9 million. These uses were partially offset by proceeds from the maturity of marketable securities of $5.0 million.</w:t>
      </w:r>
    </w:p>
    <w:p>
      <w:pPr>
        <w:spacing w:after="0" w:line="18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2017 was $0.1 million and resulted primarily from the purchases of property and equipment.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2018 totaled $53.6 million as a result of the $53.8 million in net proceeds from the sale of our common stock in January 2018, partially offset by payments on our capital leases.</w:t>
      </w:r>
    </w:p>
    <w:p>
      <w:pPr>
        <w:spacing w:after="0" w:line="170"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2017 totaled $26.6 million as a result of the $26.6 million in net proceeds from the sale of Class B preferred units in March 2017, partially offset by payments on our capital leases.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8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have generated revenue from our AbbVie collaboration, but have not generated any product revenue since our inception and do not expect to generate any product revenue unless we receive regulatory approval for our product candidates. We believe that our cash on hand as of March 31, 2018, as well as additional milestone payments from our current and future collaborators, our January 2018 and April 2018 common stock offerings, will be sufficient to meet our anticipated cash requirements for at least the next 12 months.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10-Q. We have based our estimates on assumptions that may prove to be wrong, and we could utilize our available capital resources sooner than we currently expect.</w:t>
      </w:r>
    </w:p>
    <w:p>
      <w:pPr>
        <w:spacing w:after="0" w:line="167" w:lineRule="exact"/>
        <w:rPr>
          <w:sz w:val="20"/>
          <w:szCs w:val="20"/>
          <w:color w:val="auto"/>
        </w:rPr>
      </w:pPr>
    </w:p>
    <w:p>
      <w:pPr>
        <w:ind w:right="580" w:firstLine="518"/>
        <w:spacing w:after="0" w:line="286" w:lineRule="auto"/>
        <w:rPr>
          <w:sz w:val="20"/>
          <w:szCs w:val="20"/>
          <w:color w:val="auto"/>
        </w:rPr>
      </w:pPr>
      <w:r>
        <w:rPr>
          <w:rFonts w:ascii="Arial" w:cs="Arial" w:eastAsia="Arial" w:hAnsi="Arial"/>
          <w:sz w:val="17"/>
          <w:szCs w:val="17"/>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57"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 and</w:t>
      </w:r>
    </w:p>
    <w:p>
      <w:pPr>
        <w:spacing w:after="0" w:line="117"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ind w:firstLine="518"/>
        <w:spacing w:after="0" w:line="287" w:lineRule="auto"/>
        <w:rPr>
          <w:sz w:val="20"/>
          <w:szCs w:val="20"/>
          <w:color w:val="auto"/>
        </w:rPr>
      </w:pPr>
      <w:r>
        <w:rPr>
          <w:rFonts w:ascii="Arial" w:cs="Arial" w:eastAsia="Arial" w:hAnsi="Arial"/>
          <w:sz w:val="16"/>
          <w:szCs w:val="16"/>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121" w:lineRule="exact"/>
        <w:rPr>
          <w:sz w:val="20"/>
          <w:szCs w:val="20"/>
          <w:color w:val="auto"/>
        </w:rPr>
      </w:pPr>
    </w:p>
    <w:p>
      <w:pPr>
        <w:jc w:val="both"/>
        <w:ind w:right="340" w:firstLine="518"/>
        <w:spacing w:after="0" w:line="264" w:lineRule="auto"/>
        <w:rPr>
          <w:sz w:val="20"/>
          <w:szCs w:val="20"/>
          <w:color w:val="auto"/>
        </w:rPr>
      </w:pPr>
      <w:r>
        <w:rPr>
          <w:rFonts w:ascii="Arial" w:cs="Arial" w:eastAsia="Arial" w:hAnsi="Arial"/>
          <w:sz w:val="18"/>
          <w:szCs w:val="18"/>
          <w:color w:val="auto"/>
        </w:rPr>
        <w:t>There have been no material changes to our contractual obligations and commitments set forth under the heading “Management’s Discussion and Analysis of Financial Condition and Results of Operations- Contractual Obligations and Commitments” in our Annual Report on Form 10-K for the year ended December 31, 2017, filed with the SEC on March 20,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For additional transactions with related parties which may fall outside of the reporting period of this section, please see the section entitled “</w:t>
      </w:r>
      <w:r>
        <w:rPr>
          <w:rFonts w:ascii="Arial" w:cs="Arial" w:eastAsia="Arial" w:hAnsi="Arial"/>
          <w:sz w:val="18"/>
          <w:szCs w:val="18"/>
          <w:i w:val="1"/>
          <w:iCs w:val="1"/>
          <w:color w:val="auto"/>
        </w:rPr>
        <w:t>Related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Party Transactions of Directors and Executive Officers of the Combined Organization – Synlogic Transactions” </w:t>
      </w:r>
      <w:r>
        <w:rPr>
          <w:rFonts w:ascii="Arial" w:cs="Arial" w:eastAsia="Arial" w:hAnsi="Arial"/>
          <w:sz w:val="18"/>
          <w:szCs w:val="18"/>
          <w:color w:val="auto"/>
        </w:rPr>
        <w:t>in our proxy statement filed with the SEC on</w:t>
      </w:r>
      <w:r>
        <w:rPr>
          <w:rFonts w:ascii="Arial" w:cs="Arial" w:eastAsia="Arial" w:hAnsi="Arial"/>
          <w:sz w:val="18"/>
          <w:szCs w:val="18"/>
          <w:i w:val="1"/>
          <w:iCs w:val="1"/>
          <w:color w:val="auto"/>
        </w:rPr>
        <w:t xml:space="preserve"> </w:t>
      </w:r>
      <w:r>
        <w:rPr>
          <w:rFonts w:ascii="Arial" w:cs="Arial" w:eastAsia="Arial" w:hAnsi="Arial"/>
          <w:sz w:val="18"/>
          <w:szCs w:val="18"/>
          <w:color w:val="auto"/>
        </w:rPr>
        <w:t>April 27,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We do not have any relationships with unconsolidated entities or financial partnerships, such as entities often referred to as structured finance or</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special purpose entities, that would have been established for the purpose of facilitating off-balance sheet arrangements (as that term is defined in Item 303(a) (4)(ii)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107 of the JOBS Act provides that an emerging growth company can take advantage of the extended transition period provided in Section 7(a)</w:t>
      </w:r>
    </w:p>
    <w:p>
      <w:pPr>
        <w:spacing w:after="0" w:line="4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companies.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 xml:space="preserve">For detailed information regarding recently issued accounting pronouncements and the expected impact on our consolidated financial statements,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unaudited consolidated financial statements appearing elsewhere in this Quarterly Report on Form 10-Q.</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primary objective of our investment activities is to preserve capital for the purpose of funding operations, while at the same time maximizing the income we receive from investments without materially increasing risk. To achieve these objectives, our investment policy allows us to maintain a portfolio of cash, cash equivalents and short-term investments in a variety of securities, including commercial paper and money market funds. Our cash is deposited in and invested through highly rated financial institutions in North America.</w:t>
      </w:r>
    </w:p>
    <w:p>
      <w:pPr>
        <w:spacing w:after="0" w:line="18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Cash and cash equivalents at March 31, 2018 consisted of cash, money market funds and corporate debt securities. Our short-term investments consisted of corporate securities. Our primary exposure to market risk is interest income sensitivity, which is affected by changes in the general level of interest rates, particularly because our investments are in short-term marketable securities. Due to the short-term duration of our investment portfolio and the low risk profile of our instruments we do not believe that an increase or decrease in market rates would have a material impact on us. We do not currently hedge interest rate exposure.</w:t>
      </w:r>
    </w:p>
    <w:p>
      <w:pPr>
        <w:spacing w:after="0" w:line="188"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We do not believe that our cash, cash equivalents, available-for-sale investments and restricted cash have significant risk of default or illiquidity at this time, as they are invested in securities issued by the U.S. government. While we believe our cash, cash equivalents, available-for-sale investments and restricted cash do not contain excessive risk, we cannot provide absolute assurance that in the future our investments will not be subject to adverse changes in market value. We maintain significant amounts of cash and restricted cash at one or more financial institutions that are in excess of federally insured limits.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do not believe that inflation had a material effect on our business, financial condition or results of operations for the three months ended March 31, 2018 and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w:t>
      </w:r>
    </w:p>
    <w:p>
      <w:pPr>
        <w:spacing w:after="0" w:line="12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the Chief Executive Officer and Chief Financial Officer, as appropriate to allow timely decisions regarding required disclosure. Our management evaluates these controls and procedures on an ongoing basis.</w:t>
      </w:r>
    </w:p>
    <w:p>
      <w:pPr>
        <w:spacing w:after="0" w:line="19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Our Chief Executive Officer and our Chief Financial Officer, after evaluating the effectiveness of our disclosure controls and procedures, believe that as of the end of the period covered by this report, our disclosure controls and procedures were effective in providing the requisite reasonable assurance that material information required to be disclosed in the reports that we file or submit under the Exchange Act is recorded, processed, summarized and reported within the time periods specified in the SEC’s rules and forms, and is accumulated and communicated to our management, including our Chief Executive Officer and Chief Financial Officer, as appropriate to allow timely decisions regarding the required disclosure.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During the quarter ended March 31, 2018, we implemented certain internal controls in connection with our adoption of ASC 606 (as defined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Except for any changes relating to this adoption, there has been no change in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93"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the following discussion of risk factors, references to “Mirna” refer to the business of Mirna Therapeutics, Inc. as it existed prior to the Merger on August 28, 2017 and references to “Private Synlogic” refer to the business of Synlogic, Inc. prior to the Merger on August 28, 2017. References to “we”, “us”, “our” and similar terms refer to the combined business of Synlogic, Inc. after the Merger on August 28, 2017.</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Capital Requirements and Operating Results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sz w:val="20"/>
          <w:szCs w:val="20"/>
          <w:color w:val="auto"/>
        </w:rPr>
      </w:pPr>
    </w:p>
    <w:p>
      <w:pPr>
        <w:ind w:right="300" w:firstLine="518"/>
        <w:spacing w:after="0" w:line="255" w:lineRule="auto"/>
        <w:rPr>
          <w:sz w:val="20"/>
          <w:szCs w:val="20"/>
          <w:color w:val="auto"/>
        </w:rPr>
      </w:pPr>
      <w:r>
        <w:rPr>
          <w:rFonts w:ascii="Arial" w:cs="Arial" w:eastAsia="Arial" w:hAnsi="Arial"/>
          <w:sz w:val="18"/>
          <w:szCs w:val="18"/>
          <w:color w:val="auto"/>
        </w:rPr>
        <w:t>We are a clinical-stage biopharmaceutical company focused on the development of Synthetic Biotic medicines and we have incurred significant operating losses since our inception. Our net loss was approximately $11.2 million and $7.4 million for the three months ended March 31, 2018 and 2017, respectively. As of March 31, 2018, we had an accumulated deficit of approximately $82.5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ready for commercialization.</w:t>
      </w:r>
    </w:p>
    <w:p>
      <w:pPr>
        <w:spacing w:after="0" w:line="193"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have used substantial funds to discover and develop our programs and proprietary drug development platform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0" w:name="page31"/>
    <w:bookmarkEnd w:id="30"/>
    <w:p>
      <w:pPr>
        <w:ind w:right="20" w:firstLine="518"/>
        <w:spacing w:after="0" w:line="270" w:lineRule="auto"/>
        <w:rPr>
          <w:sz w:val="20"/>
          <w:szCs w:val="20"/>
          <w:color w:val="auto"/>
        </w:rPr>
      </w:pPr>
      <w:r>
        <w:rPr>
          <w:rFonts w:ascii="Arial" w:cs="Arial" w:eastAsia="Arial" w:hAnsi="Arial"/>
          <w:sz w:val="17"/>
          <w:szCs w:val="17"/>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To date, we have primarily financed our operations through sales of our securities, our third-party collaborations and our Merger with Mirna.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7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prospectus supplement and others:</w:t>
      </w:r>
    </w:p>
    <w:p>
      <w:pPr>
        <w:spacing w:after="0" w:line="73"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develop and maintain Synthetic Biotic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and approval processes;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prevent the theft or misappropriation of our intellectual property, know-how or technologies;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or developing competing technologies or products;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225"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our stockholders may not be able to resell shares of our common stock at or above the price they paid.</w:t>
      </w:r>
    </w:p>
    <w:p>
      <w:pPr>
        <w:spacing w:after="0" w:line="129"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The trading price of our common stock is highly volatile and could be subject to wide fluctuations in response to various factors, some of which are beyond our control, such as reports by industry analysts, investor perceptions or negative announcements by other companies involving similar technologies or diseases. These factors also include those discussed in this “Risk Factors” section of this Quarterly Report on Form 10-Q and others such as:</w:t>
      </w:r>
    </w:p>
    <w:p>
      <w:pPr>
        <w:spacing w:after="0" w:line="39" w:lineRule="exact"/>
        <w:rPr>
          <w:sz w:val="20"/>
          <w:szCs w:val="20"/>
          <w:color w:val="auto"/>
        </w:rPr>
      </w:pPr>
    </w:p>
    <w:p>
      <w:pPr>
        <w:ind w:left="1040" w:right="7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relating to collaborations that we may enter into with respect to the development or commercialization of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relating to the receipt, modification or termination of government contracts or grants;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1" w:name="page32"/>
    <w:bookmarkEnd w:id="31"/>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liability claims related to our clinical trials 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disruptions caused by earthquakes or other natural disasters;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common stock by the company, our executive officers and directors or our stockholders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an active, liquid and orderly market in our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our quarterly operating results;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2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stockholders to evaluate the success of our business to date and to assess our future viability.</w:t>
      </w:r>
    </w:p>
    <w:p>
      <w:pPr>
        <w:spacing w:after="0" w:line="140"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June 2017, we initiated a Phase 1 clinical trial with SYNB1020, in April 2018, we announced that we dosed the first patient in our Phase 1b / 2a clinical trial of SYNB1020 for treatment of hyperammonemia in patients with cirrhosis, and in April 2018 we dosed our first subject in a Phase 1 / 2a clinical trial of SYNB1618, however all of our other therapeutic programs are still in the preclinical development stage. We will need to transition from a company with a research focus to a company capable of supporting clinical development and commercial activities. We have not yet demonstrated our ability to successfully complete large-scale, pivotal clinical trials, obtain marketing approvals, manufacture a commercial-scale product, or arrange for a third 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On December 22, 2017, President Trump signed into law the “Tax Cuts and Jobs Act,” or TCJA, which significantly reforms the Internal Revenue Code of 1986, as amended, or the Code. The TCJA, among other things, includes changes to U.S. federal tax rates, imposes significant additional limitations on the deductibility of interest and net operating loss carryforwards, allows for the expensing of capital expenditures, and puts into effect the migration from a “worldwide” system of taxation to a territorial system. Our net deferred tax assets and liabilities will be revalued at the newly enacted U.S. corporate rate, and the impact, if any, will be recognized in our tax expense in the year of enactment. We continue to examine the impact this tax reform legislation may have on our business. The impact of this tax reform is uncertain and could be adverse. This Quarterly Report on Form 10-Q does not discuss any such tax legislation or the manner in which it might affect purchasers of our common stock. We urge our investors to consult with their legal and tax advisors with respect to such legislation and the potential tax consequences of investing in our common stock.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62"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39" w:lineRule="exact"/>
        <w:rPr>
          <w:sz w:val="20"/>
          <w:szCs w:val="20"/>
          <w:color w:val="auto"/>
        </w:rPr>
      </w:pPr>
    </w:p>
    <w:p>
      <w:pPr>
        <w:ind w:left="1040" w:right="2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generate satisfactory preclinical or other nonclinical data, including, toxicology, or other in vivo or in vitro data or diagnostics to support the initiation or continuation of clinical trials;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17"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recruiting qualified patients in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us, clinical sites, CROs or other third parties to perform in accordance with the good clinical practices requirements of the FDA or applicable foreign regulatory guidelines;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patients dropping out of the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occurrence of adverse events, unacceptable side effects or toxicity issues associated with our product candidates;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by the FDA of a clinical hold or the requirement by other similar regulatory agencies that one or more clinical trials be delayed or halted;</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performing additional nonclinical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ultimate affordability of the cost of clinical trials of our product candidates;</w:t>
      </w:r>
    </w:p>
    <w:p>
      <w:pPr>
        <w:spacing w:after="0" w:line="117"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73"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third-party manufacturers or delays or failure in manufacturing sufficient quantities of our product candidates for use in clinical trials.</w:t>
      </w:r>
    </w:p>
    <w:p>
      <w:pPr>
        <w:spacing w:after="0" w:line="17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62"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 medicines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If we are not able to successfully develop and commercialize product candidates based upon this technological approach, we may never become profitable and the value of our capital stock may decline.</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33" w:name="page34"/>
    <w:bookmarkEnd w:id="33"/>
    <w:p>
      <w:pPr>
        <w:ind w:right="240"/>
        <w:spacing w:after="0" w:line="277" w:lineRule="auto"/>
        <w:rPr>
          <w:sz w:val="20"/>
          <w:szCs w:val="20"/>
          <w:color w:val="auto"/>
        </w:rPr>
      </w:pPr>
      <w:r>
        <w:rPr>
          <w:rFonts w:ascii="Arial" w:cs="Arial" w:eastAsia="Arial" w:hAnsi="Arial"/>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6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have concentrated our research and development efforts to date on a limited number of product candidates based on our Synthetic Biotic therapeutic platform and identifying our initial targeted disease indications.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87"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 therapeutics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Medicines Agency or national regulatory agencies may not be indicative of what the FDA, and vice versa, may require for approval and different or additional preclinical studies or clinical trials may be required to support regulatory approval in each respective jurisdiction. In addition, the FDA advised us that the clinical development of our first clinical candidate, SYNB1020, did not require submission to the National Institutes of Health’s (NIH) Recombinant DNA Advisory Committee (RAC), a committee that reviews human gene transfer protocols. Nevertheless, if RAC review is deemed necessary by one or more of our clinical trial sites that receives NIH funding, our clinical trials could be delayed. Our product candidates do not involve gene transfers to humans, and we believe that they do not meet any of the criteria for that type of review.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product candidates.</w:t>
      </w:r>
    </w:p>
    <w:p>
      <w:pPr>
        <w:spacing w:after="0" w:line="117"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A key element of our strategy is to use our targeted focus and experienced management and scientific team to create Synthetic Biotic medicines that can be deployed against a broad range of human disease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90"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6" w:lineRule="exact"/>
        <w:rPr>
          <w:sz w:val="20"/>
          <w:szCs w:val="20"/>
          <w:color w:val="auto"/>
        </w:rPr>
      </w:pPr>
    </w:p>
    <w:p>
      <w:pPr>
        <w:jc w:val="both"/>
        <w:ind w:right="120" w:firstLine="518"/>
        <w:spacing w:after="0" w:line="286"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66"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62"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or revoke licenses for such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 of such products;</w:t>
      </w:r>
    </w:p>
    <w:p>
      <w:pPr>
        <w:spacing w:after="0" w:line="117" w:lineRule="exact"/>
        <w:rPr>
          <w:rFonts w:ascii="Arial" w:cs="Arial" w:eastAsia="Arial" w:hAnsi="Arial"/>
          <w:sz w:val="18"/>
          <w:szCs w:val="18"/>
          <w:color w:val="auto"/>
        </w:rPr>
      </w:pPr>
    </w:p>
    <w:p>
      <w:pPr>
        <w:ind w:left="1040" w:right="20" w:hanging="519"/>
        <w:spacing w:after="0" w:line="342"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be required to create a risk evaluation and mitigation strategy (REMS) plan, which could include a medication guide outlining the risks of such side effects for distribution to patients, a communication plan for healthcare providers, and/or other elements to assure safe use;</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4" w:name="page35"/>
    <w:bookmarkEnd w:id="34"/>
    <w:p>
      <w:pPr>
        <w:ind w:right="880" w:firstLine="51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Clinical trials by their nature utilize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301"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b w:val="1"/>
          <w:bCs w:val="1"/>
          <w:i w:val="1"/>
          <w:iCs w:val="1"/>
          <w:color w:val="auto"/>
        </w:rPr>
        <w:t>We are heavily dependent on the success of our product candidates. Some of our product candidates have produced results in preclinical settings to date, but none of our product candidates have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23"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66" w:lineRule="exact"/>
        <w:rPr>
          <w:sz w:val="20"/>
          <w:szCs w:val="20"/>
          <w:color w:val="auto"/>
        </w:rPr>
      </w:pPr>
    </w:p>
    <w:p>
      <w:pPr>
        <w:ind w:right="260" w:firstLine="518"/>
        <w:spacing w:after="0" w:line="255" w:lineRule="auto"/>
        <w:rPr>
          <w:sz w:val="20"/>
          <w:szCs w:val="20"/>
          <w:color w:val="auto"/>
        </w:rPr>
      </w:pPr>
      <w:r>
        <w:rPr>
          <w:rFonts w:ascii="Arial" w:cs="Arial" w:eastAsia="Arial" w:hAnsi="Arial"/>
          <w:sz w:val="18"/>
          <w:szCs w:val="18"/>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3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6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As part of our business strategy, we have developed and may in the future develop product candidates that may be eligible for FDA and European Commission orphan drug designation. In August 2016, the FDA granted orphan drug designation to SYNB1020 for the treatment of UCD and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6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54"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Even though we have obtained orphan drug designation for certain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jc w:val="both"/>
        <w:ind w:right="60"/>
        <w:spacing w:after="0" w:line="264" w:lineRule="auto"/>
        <w:rPr>
          <w:sz w:val="20"/>
          <w:szCs w:val="20"/>
          <w:color w:val="auto"/>
        </w:rPr>
      </w:pPr>
      <w:r>
        <w:rPr>
          <w:rFonts w:ascii="Arial" w:cs="Arial" w:eastAsia="Arial" w:hAnsi="Arial"/>
          <w:sz w:val="18"/>
          <w:szCs w:val="18"/>
          <w:color w:val="auto"/>
        </w:rPr>
        <w:t>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Product candidates that seemingly perform satisfactorily in preclinical studies and clinical trials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2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Clinical trials of a new product candidate require the enrollment of a sufficient number of patients suffering from the disease or condition the product candidate is intended to treat and who meet other eligibility criteria.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benefits and convenience of administration of the product candidate being studied, the patient referral practices of physicians,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9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2,000 patients diagnosed with UCD in the United States, and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2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64"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ind w:right="20" w:firstLine="518"/>
        <w:spacing w:after="0" w:line="287" w:lineRule="auto"/>
        <w:rPr>
          <w:sz w:val="20"/>
          <w:szCs w:val="20"/>
          <w:color w:val="auto"/>
        </w:rPr>
      </w:pPr>
      <w:r>
        <w:rPr>
          <w:rFonts w:ascii="Arial" w:cs="Arial" w:eastAsia="Arial" w:hAnsi="Arial"/>
          <w:sz w:val="16"/>
          <w:szCs w:val="16"/>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65"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commercialized, product recalls, withdrawals of labeling, marketing or promotional restrictions or the need for product modification;</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ourselves;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increase in our product liability insurance rates or the inability to maintain insurance coverage in the future on acceptable terms, if at all;</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225"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7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6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30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seek Fast-Track designation for one or more of our product candidates, but we might not receive such designation, and even if we do, such designation may not actually lead to a faster development or regulatory review or approval process.</w:t>
      </w:r>
    </w:p>
    <w:p>
      <w:pPr>
        <w:spacing w:after="0" w:line="62"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If a product candidate is intended for the treatment of a serious condition and nonclinical or clinical data demonstrate the potential to address unmet medical need for the condition, a product sponsor may apply for FDA Fast-Track designation. We were awarded Fast-Track designation for SYNB1020 in June 2017 and for SYNB1618 in April 2018. Fast-Track designation does not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ind w:right="480"/>
        <w:spacing w:after="0" w:line="279" w:lineRule="auto"/>
        <w:rPr>
          <w:sz w:val="20"/>
          <w:szCs w:val="20"/>
          <w:color w:val="auto"/>
        </w:rPr>
      </w:pPr>
      <w:r>
        <w:rPr>
          <w:rFonts w:ascii="Arial" w:cs="Arial" w:eastAsia="Arial" w:hAnsi="Arial"/>
          <w:sz w:val="17"/>
          <w:szCs w:val="17"/>
          <w:color w:val="auto"/>
        </w:rPr>
        <w:t>ensure that we will receive marketing approval for the product candidate or that approval will be granted within any particular timeframe. We may not experience a faster development or regulatory review or approval process with Fast-Track designation compared to conventional FDA procedures. In addition, the FDA may withdraw Fast-Track designation if it believes that the designation is no longer supported by data from our clinical development program. Fast-Track designation alone does not guarantee qualification for the FDA’s priority review procedures.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we will remain subject to ongoing regulatory requirements.</w:t>
      </w:r>
    </w:p>
    <w:p>
      <w:pPr>
        <w:spacing w:after="0" w:line="11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 manufacturers will be subject to continual review and inspections to assess compliance with cGMP and adherence to commitments made in any Biologic License Application (BLA) or marketing authorization application.</w:t>
      </w:r>
    </w:p>
    <w:p>
      <w:pPr>
        <w:spacing w:after="0" w:line="154"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 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6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9"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financial condition or results of operations.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(collectively, the ACA), was passed, which was intended to substantially change the way health care is financed by both governmental health programs and private insurers, and significantly impact the U.S. pharmaceutical industry. The ACA, among other things, introduced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specified branded prescription drugs, and promotes a new Medicare Part D coverage gap discount program.</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8" w:name="page39"/>
    <w:bookmarkEnd w:id="38"/>
    <w:p>
      <w:pPr>
        <w:ind w:right="80" w:firstLine="518"/>
        <w:spacing w:after="0" w:line="259" w:lineRule="auto"/>
        <w:rPr>
          <w:sz w:val="20"/>
          <w:szCs w:val="20"/>
          <w:color w:val="auto"/>
        </w:rPr>
      </w:pPr>
      <w:r>
        <w:rPr>
          <w:rFonts w:ascii="Arial" w:cs="Arial" w:eastAsia="Arial" w:hAnsi="Arial"/>
          <w:sz w:val="18"/>
          <w:szCs w:val="18"/>
          <w:color w:val="auto"/>
        </w:rPr>
        <w:t>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18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It is anticipated that the ACA, as well as other healthcare reform measures that may be adopted in the future, may result in more rigorous coverage criteria and an additional downward pressure on the reimbursement our customers may receive for our products. Further, there have been judicial and Congressional challenges to certain aspects of the ACA, and it is expected there will be additional challenges and amendments to the ACA in the future, especially with the recent change in administration.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30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80" w:lineRule="exact"/>
        <w:rPr>
          <w:sz w:val="20"/>
          <w:szCs w:val="20"/>
          <w:color w:val="auto"/>
        </w:rPr>
      </w:pPr>
    </w:p>
    <w:p>
      <w:pPr>
        <w:ind w:left="1040" w:hanging="519"/>
        <w:spacing w:after="0" w:line="264"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3"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3" w:lineRule="exact"/>
        <w:rPr>
          <w:rFonts w:ascii="Arial" w:cs="Arial" w:eastAsia="Arial" w:hAnsi="Arial"/>
          <w:sz w:val="18"/>
          <w:szCs w:val="18"/>
          <w:color w:val="auto"/>
        </w:rPr>
      </w:pPr>
    </w:p>
    <w:p>
      <w:pPr>
        <w:ind w:left="1040" w:right="360" w:hanging="519"/>
        <w:spacing w:after="0" w:line="308"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040" w:right="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62" w:lineRule="exact"/>
        <w:rPr>
          <w:rFonts w:ascii="Arial" w:cs="Arial" w:eastAsia="Arial" w:hAnsi="Arial"/>
          <w:sz w:val="18"/>
          <w:szCs w:val="18"/>
          <w:color w:val="auto"/>
        </w:rPr>
      </w:pPr>
    </w:p>
    <w:p>
      <w:pPr>
        <w:ind w:left="1040" w:right="160" w:hanging="519"/>
        <w:spacing w:after="0" w:line="279"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require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63" w:lineRule="exact"/>
        <w:rPr>
          <w:rFonts w:ascii="Arial" w:cs="Arial" w:eastAsia="Arial" w:hAnsi="Arial"/>
          <w:sz w:val="17"/>
          <w:szCs w:val="17"/>
          <w:color w:val="auto"/>
        </w:rPr>
      </w:pPr>
    </w:p>
    <w:p>
      <w:pPr>
        <w:ind w:left="1040" w:right="120" w:hanging="519"/>
        <w:spacing w:after="0" w:line="272"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9" w:name="page40"/>
    <w:bookmarkEnd w:id="39"/>
    <w:p>
      <w:pPr>
        <w:ind w:right="200" w:firstLine="518"/>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9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62"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ind w:right="240" w:firstLine="518"/>
        <w:spacing w:after="0" w:line="302"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54"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7"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jc w:val="both"/>
        <w:ind w:right="160"/>
        <w:spacing w:after="0" w:line="286" w:lineRule="auto"/>
        <w:rPr>
          <w:sz w:val="20"/>
          <w:szCs w:val="20"/>
          <w:color w:val="auto"/>
        </w:rPr>
      </w:pPr>
      <w:r>
        <w:rPr>
          <w:rFonts w:ascii="Arial" w:cs="Arial" w:eastAsia="Arial" w:hAnsi="Arial"/>
          <w:sz w:val="17"/>
          <w:szCs w:val="17"/>
          <w:color w:val="auto"/>
        </w:rPr>
        <w:t>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62"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 medicines, delays or other impediments to our programs or the public acceptance and commercialization of Synthetic Biotic medicines. Further, there is a risk that Synthetic Biotic medicines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Synthetic Biotic medicines, product candidates and processes for our development pipeline through acquisitions and in-licenses.</w:t>
      </w:r>
    </w:p>
    <w:p>
      <w:pPr>
        <w:spacing w:after="0" w:line="62"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7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58"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7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73"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41" w:name="page42"/>
    <w:bookmarkEnd w:id="41"/>
    <w:p>
      <w:pPr>
        <w:ind w:right="180" w:firstLine="518"/>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66"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58"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30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73"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ind w:right="40"/>
        <w:spacing w:after="0" w:line="259" w:lineRule="auto"/>
        <w:rPr>
          <w:sz w:val="20"/>
          <w:szCs w:val="20"/>
          <w:color w:val="auto"/>
        </w:rPr>
      </w:pPr>
      <w:r>
        <w:rPr>
          <w:rFonts w:ascii="Arial" w:cs="Arial" w:eastAsia="Arial" w:hAnsi="Arial"/>
          <w:sz w:val="18"/>
          <w:szCs w:val="18"/>
          <w:color w:val="auto"/>
        </w:rPr>
        <w:t>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62"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75"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 medicines.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79"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43" w:name="page44"/>
    <w:bookmarkEnd w:id="43"/>
    <w:p>
      <w:pPr>
        <w:ind w:right="40" w:firstLine="518"/>
        <w:spacing w:after="0" w:line="297" w:lineRule="auto"/>
        <w:rPr>
          <w:sz w:val="20"/>
          <w:szCs w:val="20"/>
          <w:color w:val="auto"/>
        </w:rPr>
      </w:pPr>
      <w:r>
        <w:rPr>
          <w:rFonts w:ascii="Arial" w:cs="Arial" w:eastAsia="Arial" w:hAnsi="Arial"/>
          <w:sz w:val="16"/>
          <w:szCs w:val="16"/>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58"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in part, on our licensors to file, prosecute, maintain, defend and enforce patents and patent applications that are material to our business.</w:t>
      </w:r>
    </w:p>
    <w:p>
      <w:pPr>
        <w:spacing w:after="0" w:line="152"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273"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We are a party to certain intellectual property license agreements that are important to our business and expect to enter into additional license agreements in the future. Our existing agreements impose, and we expect that future license agreements will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Competitors may infringe our patents or the patents of our licensors. To cease such infringement or unauthorized use, we or one of our licensing partners may be required to file patent infringement claims against a third 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6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If we or one of our licensing partners were to initiate legal proceedings against a third 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4" w:name="page45"/>
    <w:bookmarkEnd w:id="44"/>
    <w:p>
      <w:pPr>
        <w:spacing w:after="0" w:line="255" w:lineRule="auto"/>
        <w:rPr>
          <w:sz w:val="20"/>
          <w:szCs w:val="20"/>
          <w:color w:val="auto"/>
        </w:rPr>
      </w:pPr>
      <w:r>
        <w:rPr>
          <w:rFonts w:ascii="Arial" w:cs="Arial" w:eastAsia="Arial" w:hAnsi="Arial"/>
          <w:sz w:val="18"/>
          <w:szCs w:val="18"/>
          <w:color w:val="auto"/>
        </w:rPr>
        <w:t>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89"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6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73"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62"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do not independently conduct all aspects of our drug discovery activities, compound formulation research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reduces our control over these activities but does not relieve us of our responsibilities. For example, for 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6" w:name="page47"/>
    <w:bookmarkEnd w:id="46"/>
    <w:p>
      <w:pPr>
        <w:ind w:right="700"/>
        <w:spacing w:after="0" w:line="277"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research and development, preclinical activities, and clinical activities, and may do the same for any commercial supplies of our product candidates.</w:t>
      </w:r>
    </w:p>
    <w:p>
      <w:pPr>
        <w:spacing w:after="0" w:line="62"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We rely on third-party supply and manufacturing partners to supply the materials and components for, and manufacture, a portion of our research and development and preclinical study drug supplies and may do the same for any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or effective.</w:t>
      </w:r>
    </w:p>
    <w:p>
      <w:pPr>
        <w:spacing w:after="0" w:line="17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do not own manufacturing facilities or supply sources for such components and materials, but may develop these capabilities in the future.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8"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Synthetic biotic medicines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8"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81"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In the event that any of our suppliers or manufacturers fails to comply with such requirements or to perform our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6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could adversely affect our business in a number of ways, including:</w:t>
      </w:r>
    </w:p>
    <w:p>
      <w:pPr>
        <w:spacing w:after="0" w:line="85"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ind w:right="320"/>
        <w:spacing w:after="0" w:line="375"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indemnify our collaborators from any third-party product liability claims that could result from the production, use or consumption of the product, as well as for alleged infringements of any patent or other intellectual property right by a third party. With respect to consulting agreements, we indemnify consultants from claims arising from the good faith performance of their services.</w:t>
      </w:r>
    </w:p>
    <w:p>
      <w:pPr>
        <w:spacing w:after="0" w:line="178"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6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are currently party to an agreement with AbbVie. 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collaborators may devote to the relevant product candidates;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73"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1"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39"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substantial competition and our competitors may discover, develop or commercialize products faster or more successfully than us.</w:t>
      </w:r>
    </w:p>
    <w:p>
      <w:pPr>
        <w:spacing w:after="0" w:line="129"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Horizon Pharma plc, Dimension Therapeutics, Inc. (acquired by Ultragenyx Pharmaceutical Inc.), Aeglea BioTherapeutics, Inc., Arcturus Therapeutics Inc., Translate Bio (formerly Rana Therapeutics) and Selecta Biosciences, Inc. have developed or are developing product candidates for the treatment of UCD; Valeant Pharmaceuticals International, Inc., Ocera Therapeutics, Inc. (recently acquired by Mallinckrodt Pharmaceuticals), Umecrine Cognition AB, Salix Pharmaceuticals, Ltd, Rebiotix, Inc. as well as other preclinical and discovery stage companies have developed or are each developing product candidates for the treatment of HE; and BioMarin, Inc., MipSalus ApS, Dimension Therapeutics, Inc., Rubius Therapeutics, Homology Medicines, Inc. and Synthetic Biologics, Inc. have developed or are developing product candidates for the treatment of PKU.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w:t>
      </w:r>
    </w:p>
    <w:p>
      <w:pPr>
        <w:spacing w:after="0" w:line="16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addition to the competition we face from alternative therapies for the diseases we intend to target with our product candidates, we are also aware of several companies that are also working specifically to develop engineered bacteria as cellular drug therapies, such as Intrexon Corp. Further there are several companies working to develop other similar products. Many of our competitors have substantially greater financial, technical and other resources, such as larger research and development staff and experienced marketing and manufacturing organizations. Third-party payors, including governmental and private insurers, may also encourage the use of generic products.</w:t>
      </w:r>
    </w:p>
    <w:p>
      <w:pPr>
        <w:spacing w:after="0" w:line="18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9" w:name="page50"/>
    <w:bookmarkEnd w:id="49"/>
    <w:p>
      <w:pPr>
        <w:ind w:right="80" w:firstLine="518"/>
        <w:spacing w:after="0" w:line="291" w:lineRule="auto"/>
        <w:rPr>
          <w:sz w:val="20"/>
          <w:szCs w:val="20"/>
          <w:color w:val="auto"/>
        </w:rPr>
      </w:pPr>
      <w:r>
        <w:rPr>
          <w:rFonts w:ascii="Arial" w:cs="Arial" w:eastAsia="Arial" w:hAnsi="Arial"/>
          <w:sz w:val="16"/>
          <w:szCs w:val="16"/>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2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62"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9"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safety and side effect profile of the product as demonstrated in clinical trials and potential advantages over competing treatments;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the disease targeted;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 including any limitations or warnings contained in a product’s approved labeling;</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products engineered from bacteria and these therapies;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publicity concerning the products or competing products and treatments;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50" w:lineRule="exact"/>
        <w:rPr>
          <w:sz w:val="20"/>
          <w:szCs w:val="20"/>
          <w:color w:val="auto"/>
        </w:rPr>
      </w:pPr>
    </w:p>
    <w:p>
      <w:pPr>
        <w:ind w:left="1040" w:right="7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ind w:left="1040" w:right="4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development or commercialization so that such a product may become unreasonable to continue to develop or commercialize;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62"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6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w:t>
      </w:r>
    </w:p>
    <w:p>
      <w:pPr>
        <w:spacing w:after="0" w:line="19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93"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Employees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6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chief financial officer, chief medical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51" w:name="page52"/>
    <w:bookmarkEnd w:id="51"/>
    <w:p>
      <w:pPr>
        <w:ind w:right="40" w:firstLine="518"/>
        <w:spacing w:after="0" w:line="279" w:lineRule="auto"/>
        <w:rPr>
          <w:sz w:val="20"/>
          <w:szCs w:val="20"/>
          <w:color w:val="auto"/>
        </w:rPr>
      </w:pPr>
      <w:r>
        <w:rPr>
          <w:rFonts w:ascii="Arial" w:cs="Arial" w:eastAsia="Arial" w:hAnsi="Arial"/>
          <w:sz w:val="17"/>
          <w:szCs w:val="17"/>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8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common stock may be delisted from the Nasdaq Capital Market if we are unable to maintain compliance with Nasdaq’s continued listing standards.</w:t>
      </w:r>
    </w:p>
    <w:p>
      <w:pPr>
        <w:spacing w:after="0" w:line="152"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Nasdaq imposes, among other requirements, continued listing standards including minimum bid and public float requirements. The price of our common stock must trade at or above $1.00 to comply with Nasdaq’s minimum bid requirement for continued listing on the Nasdaq Capital Market. If our stock trades at bid prices of less than $1.00 for a period in excess of 30 consecutive business days, Nasdaq could send a deficiency notice to the company for not remaining in compliance with the minimum bid listing standards. During the year ended December 31, 2017 and the three months ended March 31, 2018, our common stock never traded below $1.00. However, if the closing bid price of our common stock fails to meet Nasdaq’s minimum closing bid price requirement, or if we otherwise fail to meet any other applicable requirements of Nasdaq and we are unable to regain compliance, Nasdaq may make a determination to delist our common stock.</w:t>
      </w:r>
    </w:p>
    <w:p>
      <w:pPr>
        <w:spacing w:after="0" w:line="18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Any delisting of our common stock could adversely affect the market liquidity of our common stock and the market price of our common stock could decrease. Furthermore, if our common stock were delisted it could adversely affect our ability to obtain financing for the continuation of our operations and/or result in the loss of confidence by investors, customers, suppliers and employees.</w:t>
      </w: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Based on the beneficial ownership of our common stock as of May 11, 2018, our executive officers and directors, together with holders of 5% or more of our common stock outstanding and their respective affiliates, beneficially own approximately 57%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2" w:name="page53"/>
    <w:bookmarkEnd w:id="52"/>
    <w:p>
      <w:pPr>
        <w:ind w:right="1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an “emerging growth company,” as defined in the JOBS Act, and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9"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addition, Section 102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depress our stock price.</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May 11, 2018, there were a total of 25,450,808 shares of our common stock outstanding.</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the level of our operating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receipt, modification or termination of government contracts or grants, and the timing of payments we receive under these arrangements;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execution of any collaborative, licensing or similar arrangements, and the timing of payments we may make under these arrangements;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23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63"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classified board of directors so that not all directors are elected at one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53" w:name="page54"/>
    <w:bookmarkEnd w:id="53"/>
    <w:p>
      <w:pPr>
        <w:ind w:left="1040" w:right="5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 and</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 Furthermore, our amended and restated certificate of incorporation specifies that the Court of Chancery of the State of Delaware will be the sole and exclusive forum for most legal actions involving actions brought against us by our stockholders. We believe this provision benefits the company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173"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Provisions in our charter and other provisions of Delaware law could limit the price that investors are willing to pay in the future for shares of our common stock.</w:t>
      </w:r>
    </w:p>
    <w:p>
      <w:pPr>
        <w:spacing w:after="0" w:line="279"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b w:val="1"/>
          <w:bCs w:val="1"/>
          <w:i w:val="1"/>
          <w:iCs w:val="1"/>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38" w:lineRule="exact"/>
        <w:rPr>
          <w:sz w:val="20"/>
          <w:szCs w:val="20"/>
          <w:color w:val="auto"/>
        </w:rPr>
      </w:pPr>
    </w:p>
    <w:p>
      <w:pPr>
        <w:jc w:val="both"/>
        <w:ind w:right="160" w:firstLine="518"/>
        <w:spacing w:after="0" w:line="259" w:lineRule="auto"/>
        <w:rPr>
          <w:sz w:val="20"/>
          <w:szCs w:val="20"/>
          <w:color w:val="auto"/>
        </w:rPr>
      </w:pPr>
      <w:r>
        <w:rPr>
          <w:rFonts w:ascii="Arial" w:cs="Arial" w:eastAsia="Arial" w:hAnsi="Arial"/>
          <w:sz w:val="18"/>
          <w:szCs w:val="18"/>
          <w:color w:val="auto"/>
        </w:rPr>
        <w:t>Our current executive officers are parties to employment agreements providing for aggregate cash payments of up to approximately $1.7 million at March 31, 2018 for severance and other benefits in the event of a termination of employment in connection with a change of control. The payment of these severance benefits could harm our business, financial condition and results of operations. In addition, these potential severance payments may discourage or prevent third parties from seeking a business combination with Synlogic.</w:t>
      </w:r>
    </w:p>
    <w:p>
      <w:pPr>
        <w:spacing w:after="0" w:line="29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4" w:name="page55"/>
    <w:bookmarkEnd w:id="54"/>
    <w:p>
      <w:pPr>
        <w:ind w:right="780"/>
        <w:spacing w:after="0" w:line="277" w:lineRule="auto"/>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As more fully described below, on May 10, 2018, we announced a CEO transition, appointing our Chief Medical Officer, Aoife Brennan, M.B., B.Ch., to serve as Interim President and Chief Executive Officer as successor to Jose Carlos Gutiérrez-Ramos, Ph. D. and naming our existing Chairman of the Board of Directors (the “Board”), Peter Barrett, to serve as the Executive Chairman of the Board and oversee a Board committee to conduct a search for a permanent CEO.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Chief Executive Officer and Resignation as Director</w:t>
      </w:r>
    </w:p>
    <w:p>
      <w:pPr>
        <w:spacing w:after="0" w:line="121" w:lineRule="exact"/>
        <w:rPr>
          <w:sz w:val="20"/>
          <w:szCs w:val="20"/>
          <w:color w:val="auto"/>
        </w:rPr>
      </w:pPr>
    </w:p>
    <w:p>
      <w:pPr>
        <w:ind w:right="140" w:firstLine="571"/>
        <w:spacing w:after="0" w:line="264" w:lineRule="auto"/>
        <w:rPr>
          <w:sz w:val="20"/>
          <w:szCs w:val="20"/>
          <w:color w:val="auto"/>
        </w:rPr>
      </w:pPr>
      <w:r>
        <w:rPr>
          <w:rFonts w:ascii="Arial" w:cs="Arial" w:eastAsia="Arial" w:hAnsi="Arial"/>
          <w:sz w:val="18"/>
          <w:szCs w:val="18"/>
          <w:color w:val="auto"/>
        </w:rPr>
        <w:t>On May 10, 2018, Jose-Carlos Gutiérrez-Ramos notified our Board of his resignation as our President and Chief Executive Officer and as a member of our Board, effective immediately. Dr. Gutiérrez-Ramos’s resignation was not as a result of any disagreement with us on any matters related to our operations, policies or practices.</w:t>
      </w:r>
    </w:p>
    <w:p>
      <w:pPr>
        <w:spacing w:after="0" w:line="73" w:lineRule="exact"/>
        <w:rPr>
          <w:sz w:val="20"/>
          <w:szCs w:val="20"/>
          <w:color w:val="auto"/>
        </w:rPr>
      </w:pPr>
    </w:p>
    <w:p>
      <w:pPr>
        <w:ind w:right="80" w:firstLine="577"/>
        <w:spacing w:after="0" w:line="257" w:lineRule="auto"/>
        <w:rPr>
          <w:sz w:val="20"/>
          <w:szCs w:val="20"/>
          <w:color w:val="auto"/>
        </w:rPr>
      </w:pPr>
      <w:r>
        <w:rPr>
          <w:rFonts w:ascii="Arial" w:cs="Arial" w:eastAsia="Arial" w:hAnsi="Arial"/>
          <w:sz w:val="18"/>
          <w:szCs w:val="18"/>
          <w:color w:val="auto"/>
        </w:rPr>
        <w:t>On May 10, 2018, we entered into an agreement (the “Letter Agreement”) with Dr. Gutiérrez-Ramos related to his resignation that provides Dr. Gutiérrez-Ramos severance and other benefits consistent with the terms of Dr. Gutiérrez-Ramos’s employment offer letter dated March 20, 2015 as amended to date, previously filed as Exhibits 10.8 and 10.9 to our Annual Report on Form 10-K for the year ended December 31, 2017 (filed with the SEC on March 20, 2018). In addition, pursuant to the terms of the Letter Agreement, Dr. Gutiérrez-Ramos will continue to vest in his previously granted restricted stock award grant dated May 14, 2015 until November 15, 2018.</w:t>
      </w:r>
    </w:p>
    <w:p>
      <w:pPr>
        <w:spacing w:after="0" w:line="80" w:lineRule="exact"/>
        <w:rPr>
          <w:sz w:val="20"/>
          <w:szCs w:val="20"/>
          <w:color w:val="auto"/>
        </w:rPr>
      </w:pPr>
    </w:p>
    <w:p>
      <w:pPr>
        <w:ind w:right="40" w:firstLine="577"/>
        <w:spacing w:after="0" w:line="272" w:lineRule="auto"/>
        <w:rPr>
          <w:sz w:val="20"/>
          <w:szCs w:val="20"/>
          <w:color w:val="auto"/>
        </w:rPr>
      </w:pPr>
      <w:r>
        <w:rPr>
          <w:rFonts w:ascii="Arial" w:cs="Arial" w:eastAsia="Arial" w:hAnsi="Arial"/>
          <w:sz w:val="17"/>
          <w:szCs w:val="17"/>
          <w:color w:val="auto"/>
        </w:rPr>
        <w:t>The Letter Agreement includes a release of claims by Dr. Gutiérrez-Ramos against us. In connection with the entry into the Letter Agreement, Dr. Gutiérrez-Ramos agreed that he would continue to be subject to the Invention and Non-Disclosure Agreement and the Non-Compete and Non-Solicitation Agreement between us and Dr. Gutiérrez-Ramos that contains a covenant protecting our confidential information. In addition, Dr. Gutiérrez-Ramos agreed to be subject to a covenant not to make any statements that are professionally or personally disparaging about or adverse to our interests (including our officers, directors and employees) including, but not limited to, any statements that disparage any person, product, service, finances, financial condition, capability or any other aspect of our business, and that Dr. Gutiérrez-Ramos will not engage in any conduct that is intended to harm professionally or personally our reputation (including our officers, directors and employees).</w:t>
      </w:r>
    </w:p>
    <w:p>
      <w:pPr>
        <w:spacing w:after="0" w:line="70" w:lineRule="exact"/>
        <w:rPr>
          <w:sz w:val="20"/>
          <w:szCs w:val="20"/>
          <w:color w:val="auto"/>
        </w:rPr>
      </w:pPr>
    </w:p>
    <w:p>
      <w:pPr>
        <w:ind w:right="140" w:firstLine="577"/>
        <w:spacing w:after="0" w:line="308" w:lineRule="auto"/>
        <w:rPr>
          <w:sz w:val="20"/>
          <w:szCs w:val="20"/>
          <w:color w:val="auto"/>
        </w:rPr>
      </w:pPr>
      <w:r>
        <w:rPr>
          <w:rFonts w:ascii="Arial" w:cs="Arial" w:eastAsia="Arial" w:hAnsi="Arial"/>
          <w:sz w:val="17"/>
          <w:szCs w:val="17"/>
          <w:color w:val="auto"/>
        </w:rPr>
        <w:t>The foregoing summary of the Letter Agreement does not purport to be complete and is subject to, and qualified in its entirety by, the full text of the Letter Agreement, which is attached as Exhibit 10.2 to this Quarterly Report on Form 10-Q and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Interim President and Chief Executive Officer</w:t>
      </w:r>
    </w:p>
    <w:p>
      <w:pPr>
        <w:spacing w:after="0" w:line="229"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In connection with Dr. Gutiérrez-Ramos’s resignation, on May 10, 2018, the Board appointed Aoife M. Brennan as our Interim President and Chief Executive Officer while the Board conducts a search for our next Chief Executive Officer. Dr. Brennan, age 43, has served as our Chief Medical Officer since the Merger and as Private Synlogic’s Chief Medical Officer since September 2016. No family relationships exist between Dr. Brennan and any of our directors or executive officers. There are no arrangements or understandings between Dr. Brennan and any other person pursuant to which Dr. Brennan was selected as the Interim President and Chief Executive Officer, nor are there any transactions to which we are or were a participant and in which Dr. Brennan has a material</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55" w:name="page56"/>
    <w:bookmarkEnd w:id="55"/>
    <w:p>
      <w:pPr>
        <w:ind w:right="60"/>
        <w:spacing w:after="0" w:line="308" w:lineRule="auto"/>
        <w:rPr>
          <w:sz w:val="20"/>
          <w:szCs w:val="20"/>
          <w:color w:val="auto"/>
        </w:rPr>
      </w:pPr>
      <w:r>
        <w:rPr>
          <w:rFonts w:ascii="Arial" w:cs="Arial" w:eastAsia="Arial" w:hAnsi="Arial"/>
          <w:sz w:val="17"/>
          <w:szCs w:val="17"/>
          <w:color w:val="auto"/>
        </w:rPr>
        <w:t>interest subject to disclosure under Item 404(a) of Regulation S-K. The Board has not yet determined whether any adjustments with respect to compensatory arrangements with Dr. Brennan will be made in connection with her appointment as Interim President and Chief Executive Officer.</w:t>
      </w:r>
    </w:p>
    <w:p>
      <w:pPr>
        <w:spacing w:after="0" w:line="38" w:lineRule="exact"/>
        <w:rPr>
          <w:sz w:val="20"/>
          <w:szCs w:val="20"/>
          <w:color w:val="auto"/>
        </w:rPr>
      </w:pPr>
    </w:p>
    <w:p>
      <w:pPr>
        <w:ind w:firstLine="577"/>
        <w:spacing w:after="0" w:line="271" w:lineRule="auto"/>
        <w:rPr>
          <w:sz w:val="20"/>
          <w:szCs w:val="20"/>
          <w:color w:val="auto"/>
        </w:rPr>
      </w:pPr>
      <w:r>
        <w:rPr>
          <w:rFonts w:ascii="Arial" w:cs="Arial" w:eastAsia="Arial" w:hAnsi="Arial"/>
          <w:sz w:val="17"/>
          <w:szCs w:val="17"/>
          <w:color w:val="auto"/>
        </w:rPr>
        <w:t>Dr. Brennan joined Private Synlogic in September 2016 as Chief Medical Officer and is responsible for the oversight and direction of our clinical development strategy and operations. From May 2011 to August 2016, Dr. Brennan was Vice President and Head of the Rare Disease Innovation Unit at Biogen, a biotechnology company, where she was responsible for research and development of the Biogen rare disease portfolio, which involved programs ranging from pre-clinical to commercial, including the approval of ALPROLIX</w:t>
      </w:r>
      <w:r>
        <w:rPr>
          <w:rFonts w:ascii="Arial" w:cs="Arial" w:eastAsia="Arial" w:hAnsi="Arial"/>
          <w:sz w:val="14"/>
          <w:szCs w:val="14"/>
          <w:color w:val="auto"/>
        </w:rPr>
        <w:t>TM</w:t>
      </w:r>
      <w:r>
        <w:rPr>
          <w:rFonts w:ascii="Arial" w:cs="Arial" w:eastAsia="Arial" w:hAnsi="Arial"/>
          <w:sz w:val="17"/>
          <w:szCs w:val="17"/>
          <w:color w:val="auto"/>
        </w:rPr>
        <w:t>, ELOCTATE</w:t>
      </w:r>
      <w:r>
        <w:rPr>
          <w:rFonts w:ascii="Arial" w:cs="Arial" w:eastAsia="Arial" w:hAnsi="Arial"/>
          <w:sz w:val="14"/>
          <w:szCs w:val="14"/>
          <w:color w:val="auto"/>
        </w:rPr>
        <w:t>TM</w:t>
      </w:r>
      <w:r>
        <w:rPr>
          <w:rFonts w:ascii="Arial" w:cs="Arial" w:eastAsia="Arial" w:hAnsi="Arial"/>
          <w:sz w:val="17"/>
          <w:szCs w:val="17"/>
          <w:color w:val="auto"/>
        </w:rPr>
        <w:t xml:space="preserve"> and SPINRAZA</w:t>
      </w:r>
      <w:r>
        <w:rPr>
          <w:rFonts w:ascii="Arial" w:cs="Arial" w:eastAsia="Arial" w:hAnsi="Arial"/>
          <w:sz w:val="14"/>
          <w:szCs w:val="14"/>
          <w:color w:val="auto"/>
        </w:rPr>
        <w:t>TM</w:t>
      </w:r>
      <w:r>
        <w:rPr>
          <w:rFonts w:ascii="Arial" w:cs="Arial" w:eastAsia="Arial" w:hAnsi="Arial"/>
          <w:sz w:val="17"/>
          <w:szCs w:val="17"/>
          <w:color w:val="auto"/>
        </w:rPr>
        <w:t>. From 2008 to 2011, Dr. Brennan was director of clinical development at Tolerx, Inc., a start-up biotechnology company focusing on immunotherapy for Type 1 diabetes. Dr. Brennan holds a medical degree from Trinity College in Dublin, Ireland and completed post-graduate training in internal medicine, endocrinology and metabolism. Dr. Brennan also completed post-doctoral training in clinical research and metabolism at the Beth Israel Deaconess Medical Center in Boston and is a graduate of the Harvard Medical School Scholars in Clinical Science Program.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Changes in the Board of Directors</w:t>
      </w:r>
    </w:p>
    <w:p>
      <w:pPr>
        <w:spacing w:after="0" w:line="229" w:lineRule="exact"/>
        <w:rPr>
          <w:sz w:val="20"/>
          <w:szCs w:val="20"/>
          <w:color w:val="auto"/>
        </w:rPr>
      </w:pPr>
    </w:p>
    <w:p>
      <w:pPr>
        <w:ind w:right="100" w:firstLine="571"/>
        <w:spacing w:after="0" w:line="277" w:lineRule="auto"/>
        <w:rPr>
          <w:sz w:val="20"/>
          <w:szCs w:val="20"/>
          <w:color w:val="auto"/>
        </w:rPr>
      </w:pPr>
      <w:r>
        <w:rPr>
          <w:rFonts w:ascii="Arial" w:cs="Arial" w:eastAsia="Arial" w:hAnsi="Arial"/>
          <w:sz w:val="18"/>
          <w:szCs w:val="18"/>
          <w:color w:val="auto"/>
        </w:rPr>
        <w:t>In connection with Dr. Gutiérrez-Ramos’s resignation as a member of our Board, the Board reduced the size of our Board from seven directors to six directors and the number of Class I Directors of the Board was reduced from two to one.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Filed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Incorporated by</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Filing</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60" w:type="dxa"/>
            <w:vAlign w:val="bottom"/>
            <w:gridSpan w:val="9"/>
            <w:vMerge w:val="restart"/>
          </w:tcPr>
          <w:p>
            <w:pPr>
              <w:ind w:left="5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with this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from Form or</w:t>
            </w:r>
          </w:p>
        </w:tc>
        <w:tc>
          <w:tcPr>
            <w:tcW w:w="102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9"/>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380" w:type="dxa"/>
            <w:vAlign w:val="bottom"/>
            <w:tcBorders>
              <w:bottom w:val="single" w:sz="8" w:color="0000EE"/>
            </w:tcBorders>
            <w:gridSpan w:val="6"/>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Form of Subscription Agreement, dated as of April 6, 2018, by and among</w:t>
              </w:r>
            </w:hyperlink>
          </w:p>
        </w:tc>
        <w:tc>
          <w:tcPr>
            <w:tcW w:w="460" w:type="dxa"/>
            <w:vAlign w:val="bottom"/>
            <w:gridSpan w:val="6"/>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April 6,</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40" w:type="dxa"/>
            <w:vAlign w:val="bottom"/>
            <w:gridSpan w:val="12"/>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Synlogic, Inc. and the investors named therein</w:t>
              </w:r>
              <w:r>
                <w:rPr>
                  <w:rFonts w:ascii="Arial" w:cs="Arial" w:eastAsia="Arial" w:hAnsi="Arial"/>
                  <w:sz w:val="18"/>
                  <w:szCs w:val="18"/>
                  <w:color w:val="000000"/>
                </w:rPr>
                <w:t>.</w:t>
              </w:r>
            </w:hyperlink>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jc w:val="right"/>
              <w:ind w:right="313"/>
              <w:spacing w:after="0"/>
              <w:rPr>
                <w:sz w:val="20"/>
                <w:szCs w:val="20"/>
                <w:color w:val="auto"/>
              </w:rPr>
            </w:pPr>
            <w:r>
              <w:rPr>
                <w:rFonts w:ascii="Arial" w:cs="Arial" w:eastAsia="Arial" w:hAnsi="Arial"/>
                <w:sz w:val="18"/>
                <w:szCs w:val="18"/>
                <w:color w:val="auto"/>
                <w:w w:val="88"/>
              </w:rPr>
              <w:t>10.2#</w:t>
            </w:r>
          </w:p>
        </w:tc>
        <w:tc>
          <w:tcPr>
            <w:tcW w:w="120" w:type="dxa"/>
            <w:vAlign w:val="bottom"/>
          </w:tcPr>
          <w:p>
            <w:pPr>
              <w:spacing w:after="0"/>
              <w:rPr>
                <w:sz w:val="24"/>
                <w:szCs w:val="24"/>
                <w:color w:val="auto"/>
              </w:rPr>
            </w:pPr>
          </w:p>
        </w:tc>
        <w:tc>
          <w:tcPr>
            <w:tcW w:w="55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Letter Agreement dated as of May 9, 2018, between Synlogic, Inc. and Jose-</w:t>
              </w:r>
            </w:hyperlink>
          </w:p>
        </w:tc>
        <w:tc>
          <w:tcPr>
            <w:tcW w:w="320" w:type="dxa"/>
            <w:vAlign w:val="bottom"/>
            <w:gridSpan w:val="3"/>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Carlos Gutiérrez-Ramos</w:t>
              </w:r>
            </w:hyperlink>
          </w:p>
        </w:tc>
        <w:tc>
          <w:tcPr>
            <w:tcW w:w="408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right"/>
              <w:ind w:right="313"/>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4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Certification of Chief Executive Officer required by Rule 13a-14(a) or Rule</w:t>
              </w:r>
            </w:hyperlink>
          </w:p>
        </w:tc>
        <w:tc>
          <w:tcPr>
            <w:tcW w:w="380" w:type="dxa"/>
            <w:vAlign w:val="bottom"/>
            <w:gridSpan w:val="4"/>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15d-14(a).</w:t>
              </w:r>
            </w:hyperlink>
          </w:p>
        </w:tc>
        <w:tc>
          <w:tcPr>
            <w:tcW w:w="508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jc w:val="right"/>
              <w:ind w:right="313"/>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840" w:type="dxa"/>
            <w:vAlign w:val="bottom"/>
            <w:gridSpan w:val="1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Certification of Chief Financial Officer required by Rule 13a-14(a) or Rule</w:t>
              </w:r>
            </w:hyperlink>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15d-14(a).</w:t>
              </w:r>
            </w:hyperlink>
          </w:p>
        </w:tc>
        <w:tc>
          <w:tcPr>
            <w:tcW w:w="4640" w:type="dxa"/>
            <w:vAlign w:val="bottom"/>
            <w:tcBorders>
              <w:top w:val="single" w:sz="8" w:color="0000EE"/>
            </w:tcBorders>
            <w:gridSpan w:val="6"/>
          </w:tcPr>
          <w:p>
            <w:pPr>
              <w:spacing w:after="0"/>
              <w:rPr>
                <w:sz w:val="17"/>
                <w:szCs w:val="17"/>
                <w:color w:val="auto"/>
              </w:rPr>
            </w:pPr>
          </w:p>
        </w:tc>
        <w:tc>
          <w:tcPr>
            <w:tcW w:w="44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jc w:val="right"/>
              <w:ind w:right="233"/>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5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Certification required by Rule 13a-14(b) or Rule 15d-14(b) and Section 1350</w:t>
              </w:r>
            </w:hyperlink>
          </w:p>
        </w:tc>
        <w:tc>
          <w:tcPr>
            <w:tcW w:w="280" w:type="dxa"/>
            <w:vAlign w:val="bottom"/>
            <w:gridSpan w:val="2"/>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of Chapter 63 of Title 18 of the United States Code (18 U.S.C. §1350).</w:t>
              </w:r>
            </w:hyperlink>
          </w:p>
        </w:tc>
        <w:tc>
          <w:tcPr>
            <w:tcW w:w="72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jc w:val="right"/>
              <w:ind w:right="233"/>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5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Certification required by Rule 13a-14(b) or Rule 15d-14(b) and Section 1350</w:t>
              </w:r>
            </w:hyperlink>
          </w:p>
        </w:tc>
        <w:tc>
          <w:tcPr>
            <w:tcW w:w="280" w:type="dxa"/>
            <w:vAlign w:val="bottom"/>
            <w:gridSpan w:val="2"/>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of Chapter 63 of Title 18 of the United States Code (18 U.S.C. §1350).</w:t>
              </w:r>
            </w:hyperlink>
          </w:p>
        </w:tc>
        <w:tc>
          <w:tcPr>
            <w:tcW w:w="74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84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84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84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84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84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84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690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95" w:lineRule="exact"/>
        <w:rPr>
          <w:sz w:val="20"/>
          <w:szCs w:val="20"/>
          <w:color w:val="auto"/>
        </w:rPr>
      </w:pPr>
    </w:p>
    <w:p>
      <w:pPr>
        <w:ind w:left="520" w:right="100" w:hanging="512"/>
        <w:spacing w:after="0" w:line="259"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11"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or compensatory plans or agreements.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7" w:name="page58"/>
    <w:bookmarkEnd w:id="57"/>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SYNLOGIC, INC.</w:t>
      </w:r>
    </w:p>
    <w:p>
      <w:pPr>
        <w:spacing w:after="0" w:line="252"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A</w:t>
      </w:r>
      <w:r>
        <w:rPr>
          <w:rFonts w:ascii="Arial" w:cs="Arial" w:eastAsia="Arial" w:hAnsi="Arial"/>
          <w:sz w:val="12"/>
          <w:szCs w:val="12"/>
          <w:color w:val="auto"/>
        </w:rPr>
        <w:t>OIFE BRENNAN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Interim President and 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/s/T</w:t>
      </w:r>
      <w:r>
        <w:rPr>
          <w:rFonts w:ascii="Arial" w:cs="Arial" w:eastAsia="Arial" w:hAnsi="Arial"/>
          <w:sz w:val="12"/>
          <w:szCs w:val="12"/>
          <w:color w:val="auto"/>
        </w:rPr>
        <w:t>ODD</w:t>
      </w:r>
      <w:r>
        <w:rPr>
          <w:rFonts w:ascii="Arial" w:cs="Arial" w:eastAsia="Arial" w:hAnsi="Arial"/>
          <w:sz w:val="18"/>
          <w:szCs w:val="18"/>
          <w:color w:val="auto"/>
        </w:rPr>
        <w:t xml:space="preserve"> S</w:t>
      </w:r>
      <w:r>
        <w:rPr>
          <w:rFonts w:ascii="Arial" w:cs="Arial" w:eastAsia="Arial" w:hAnsi="Arial"/>
          <w:sz w:val="12"/>
          <w:szCs w:val="12"/>
          <w:color w:val="auto"/>
        </w:rPr>
        <w:t>HEGOG</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Todd Shegog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(Principal Financial Officer and Principal Accounting</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364" w:right="479" w:bottom="1440" w:gutter="0" w:footer="0" w:header="0"/>
        </w:sectPr>
      </w:pPr>
    </w:p>
    <w:bookmarkStart w:id="58" w:name="page59"/>
    <w:bookmarkEnd w:id="58"/>
    <w:p>
      <w:pPr>
        <w:ind w:left="1460"/>
        <w:spacing w:after="0"/>
        <w:rPr>
          <w:sz w:val="20"/>
          <w:szCs w:val="20"/>
          <w:color w:val="auto"/>
        </w:rPr>
      </w:pPr>
      <w:r>
        <w:rPr>
          <w:rFonts w:ascii="Arial" w:cs="Arial" w:eastAsia="Arial" w:hAnsi="Arial"/>
          <w:sz w:val="20"/>
          <w:szCs w:val="20"/>
          <w:color w:val="auto"/>
        </w:rPr>
        <w:t>Exhibit 10.2</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Synlogic, Inc</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301 Binney Street</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Suite 401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Cambridge, MA 02142</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May 9, 2018</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Jose-Carlos Gutiérrez-Ramos</w:t>
      </w:r>
    </w:p>
    <w:p>
      <w:pPr>
        <w:spacing w:after="0" w:line="238" w:lineRule="auto"/>
        <w:rPr>
          <w:sz w:val="20"/>
          <w:szCs w:val="20"/>
          <w:color w:val="auto"/>
        </w:rPr>
      </w:pPr>
      <w:r>
        <w:rPr>
          <w:rFonts w:ascii="Arial" w:cs="Arial" w:eastAsia="Arial" w:hAnsi="Arial"/>
          <w:sz w:val="22"/>
          <w:szCs w:val="22"/>
          <w:color w:val="auto"/>
        </w:rPr>
        <w:t>Zero Masconomo Street</w:t>
      </w:r>
    </w:p>
    <w:p>
      <w:pPr>
        <w:spacing w:after="0"/>
        <w:rPr>
          <w:sz w:val="20"/>
          <w:szCs w:val="20"/>
          <w:color w:val="auto"/>
        </w:rPr>
      </w:pPr>
      <w:r>
        <w:rPr>
          <w:rFonts w:ascii="Arial" w:cs="Arial" w:eastAsia="Arial" w:hAnsi="Arial"/>
          <w:sz w:val="22"/>
          <w:szCs w:val="22"/>
          <w:color w:val="auto"/>
        </w:rPr>
        <w:t>Manchester, MA 01944</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Dr. Gutiérrez-Ramos:</w:t>
      </w:r>
    </w:p>
    <w:p>
      <w:pPr>
        <w:spacing w:after="0" w:line="233" w:lineRule="exact"/>
        <w:rPr>
          <w:sz w:val="20"/>
          <w:szCs w:val="20"/>
          <w:color w:val="auto"/>
        </w:rPr>
      </w:pPr>
    </w:p>
    <w:p>
      <w:pPr>
        <w:ind w:firstLine="810"/>
        <w:spacing w:after="0" w:line="235" w:lineRule="auto"/>
        <w:rPr>
          <w:sz w:val="20"/>
          <w:szCs w:val="20"/>
          <w:color w:val="auto"/>
        </w:rPr>
      </w:pPr>
      <w:r>
        <w:rPr>
          <w:rFonts w:ascii="Arial" w:cs="Arial" w:eastAsia="Arial" w:hAnsi="Arial"/>
          <w:sz w:val="22"/>
          <w:szCs w:val="22"/>
          <w:color w:val="auto"/>
        </w:rPr>
        <w:t>This confirms that you have resigned from your position as President and Chief Executive Officer of Synlogic, Inc. (“Synlogic” or the “Company”) as well as from related positions including as a member of the Company’s Board of Directors (the “Board”) and any office or board membership you hold with any of the Company’s subsidiaries. Your resignation shall become effective on May 10, 2018 (the “Resignation Date”). On behalf of the Board, please accept our sincere appreciation for your contributions. We also appreciate your willingness to assist with the transition as may be requested by the Company’s Interim CEO.</w:t>
      </w:r>
    </w:p>
    <w:p>
      <w:pPr>
        <w:spacing w:after="0" w:line="215" w:lineRule="exact"/>
        <w:rPr>
          <w:sz w:val="20"/>
          <w:szCs w:val="20"/>
          <w:color w:val="auto"/>
        </w:rPr>
      </w:pPr>
    </w:p>
    <w:p>
      <w:pPr>
        <w:ind w:right="60" w:firstLine="810"/>
        <w:spacing w:after="0" w:line="248" w:lineRule="auto"/>
        <w:rPr>
          <w:sz w:val="20"/>
          <w:szCs w:val="20"/>
          <w:color w:val="auto"/>
        </w:rPr>
      </w:pPr>
      <w:r>
        <w:rPr>
          <w:rFonts w:ascii="Arial" w:cs="Arial" w:eastAsia="Arial" w:hAnsi="Arial"/>
          <w:sz w:val="21"/>
          <w:szCs w:val="21"/>
          <w:color w:val="auto"/>
        </w:rPr>
        <w:t>We would like to make this transition as smooth as possible for you and the Company. Consistent with that, the Company will treat the ending of your employment consistent with a termination without Cause for purposes of that certain employment agreement dated March 20, 2015, as amended by the First Amendment to Offer Letter dated May 8, 2017 (the “Employment Agreement”) between you and the Company. You understand and agree that wherever the term “Company” is used in this Agreement it shall refer to Company, its divisions, affiliates, subsidiaries and related entities, and its and their respective officers, directors, employees, agents, representatives, successors and assigns.</w:t>
      </w:r>
    </w:p>
    <w:p>
      <w:pPr>
        <w:spacing w:after="0" w:line="198"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b w:val="1"/>
          <w:bCs w:val="1"/>
          <w:u w:val="single" w:color="auto"/>
          <w:color w:val="auto"/>
        </w:rPr>
        <w:t>Severance Pay and Benefits</w:t>
      </w:r>
      <w:r>
        <w:rPr>
          <w:rFonts w:ascii="Arial" w:cs="Arial" w:eastAsia="Arial" w:hAnsi="Arial"/>
          <w:sz w:val="22"/>
          <w:szCs w:val="22"/>
          <w:color w:val="auto"/>
        </w:rPr>
        <w:t>. As more fully set forth below, Company desires to provide you with the following severance pay</w:t>
      </w:r>
      <w:r>
        <w:rPr>
          <w:rFonts w:ascii="Arial" w:cs="Arial" w:eastAsia="Arial" w:hAnsi="Arial"/>
          <w:sz w:val="22"/>
          <w:szCs w:val="22"/>
          <w:b w:val="1"/>
          <w:bCs w:val="1"/>
          <w:color w:val="auto"/>
        </w:rPr>
        <w:t xml:space="preserve"> </w:t>
      </w:r>
      <w:r>
        <w:rPr>
          <w:rFonts w:ascii="Arial" w:cs="Arial" w:eastAsia="Arial" w:hAnsi="Arial"/>
          <w:sz w:val="22"/>
          <w:szCs w:val="22"/>
          <w:color w:val="auto"/>
        </w:rPr>
        <w:t>and benefits in exchange for certain agreements by you:</w:t>
      </w:r>
    </w:p>
    <w:p>
      <w:pPr>
        <w:spacing w:after="0" w:line="196" w:lineRule="exact"/>
        <w:rPr>
          <w:sz w:val="20"/>
          <w:szCs w:val="20"/>
          <w:color w:val="auto"/>
        </w:rPr>
      </w:pPr>
    </w:p>
    <w:p>
      <w:pPr>
        <w:jc w:val="both"/>
        <w:ind w:left="1640" w:right="160" w:hanging="409"/>
        <w:spacing w:after="0" w:line="258" w:lineRule="auto"/>
        <w:tabs>
          <w:tab w:leader="none" w:pos="16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Pay you salary continuing payments at your then Base Salary rate of ($486,000 per year) for a period thirteen (13) months (the “Severance Period”) following the termination of your employment, in accordance with the Company’s regularly established payroll procedure (the “Severance Payments”).</w:t>
      </w:r>
    </w:p>
    <w:p>
      <w:pPr>
        <w:spacing w:after="0" w:line="193" w:lineRule="exact"/>
        <w:rPr>
          <w:rFonts w:ascii="Arial" w:cs="Arial" w:eastAsia="Arial" w:hAnsi="Arial"/>
          <w:sz w:val="21"/>
          <w:szCs w:val="21"/>
          <w:color w:val="auto"/>
        </w:rPr>
      </w:pPr>
    </w:p>
    <w:p>
      <w:pPr>
        <w:ind w:left="1640" w:right="40" w:hanging="409"/>
        <w:spacing w:after="0" w:line="279" w:lineRule="auto"/>
        <w:tabs>
          <w:tab w:leader="none" w:pos="16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Provided you are eligible for and timely elect to continue receiving group medical insurance pursuant to the “COBRA” law continue to pay the share of the premium for health coverage that is paid by the Company for active and similarly-situated employees who receive the same type of coverage until the earlier of (i) the last day of the Severance Period, or (ii) the date on which you become eligible for healthcare insurance with a subsequent employer, unless the Company's provision of such COBRA payments will violate the nondiscrimination requirements of applicable law, in which case this benefit will not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302260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300" w:top="352" w:right="339" w:bottom="1440" w:gutter="0" w:footer="0" w:header="0"/>
        </w:sectPr>
      </w:pPr>
    </w:p>
    <w:bookmarkStart w:id="59" w:name="page60"/>
    <w:bookmarkEnd w:id="59"/>
    <w:p>
      <w:pPr>
        <w:jc w:val="right"/>
        <w:ind w:left="1240" w:right="380"/>
        <w:spacing w:after="0" w:line="276" w:lineRule="auto"/>
        <w:rPr>
          <w:sz w:val="20"/>
          <w:szCs w:val="20"/>
          <w:color w:val="auto"/>
        </w:rPr>
      </w:pPr>
      <w:r>
        <w:rPr>
          <w:rFonts w:ascii="Arial" w:cs="Arial" w:eastAsia="Arial" w:hAnsi="Arial"/>
          <w:sz w:val="19"/>
          <w:szCs w:val="19"/>
          <w:color w:val="auto"/>
        </w:rPr>
        <w:t>c )  W i t h i n  s i x t y  ( 6 0 )  d a y s  f o l l o w i n g  t h e  R e s i g n a t i o n  D a t e ,  t h e  C o m p a n y  w i l l p a y  y o u  a  l u m p - s u m  p a y m e n t  o f  ( $ 8 3 , 5 9 2 )  w h i c h  i s  e q u a l  t o  t h e  p r o r a t e d</w:t>
      </w:r>
    </w:p>
    <w:p>
      <w:pPr>
        <w:spacing w:after="0" w:line="2" w:lineRule="exact"/>
        <w:rPr>
          <w:sz w:val="20"/>
          <w:szCs w:val="20"/>
          <w:color w:val="auto"/>
        </w:rPr>
      </w:pPr>
    </w:p>
    <w:p>
      <w:pPr>
        <w:ind w:left="1640" w:right="300"/>
        <w:spacing w:after="0" w:line="234" w:lineRule="auto"/>
        <w:rPr>
          <w:sz w:val="20"/>
          <w:szCs w:val="20"/>
          <w:color w:val="auto"/>
        </w:rPr>
      </w:pPr>
      <w:r>
        <w:rPr>
          <w:rFonts w:ascii="Arial" w:cs="Arial" w:eastAsia="Arial" w:hAnsi="Arial"/>
          <w:sz w:val="22"/>
          <w:szCs w:val="22"/>
          <w:color w:val="auto"/>
        </w:rPr>
        <w:t>p o r t i o n o f t h e Ta r g e t B o n u s f o r t h e 2 0 1 8 f i s c a l y e a r ( w i t h s u c h p r o r a t e d p o r t i o n d e t e r m i n e d b y t h e n u m b e r o f d a y s y o u w e r e e m p l o y e d d u r i n g s u c h f i s c a l y e a r ) .</w:t>
      </w:r>
    </w:p>
    <w:p>
      <w:pPr>
        <w:spacing w:after="0" w:line="214" w:lineRule="exact"/>
        <w:rPr>
          <w:sz w:val="20"/>
          <w:szCs w:val="20"/>
          <w:color w:val="auto"/>
        </w:rPr>
      </w:pPr>
    </w:p>
    <w:p>
      <w:pPr>
        <w:ind w:left="1640" w:hanging="409"/>
        <w:spacing w:after="0"/>
        <w:tabs>
          <w:tab w:leader="none" w:pos="16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of your equity awards that would have vested on or before June 9, 2018 shall accelerate and become vested as of the Resignation Date and, except as provided in subpart (e) of this section, all outstanding equity awards will cease vesting on the Resignation Date.</w:t>
      </w:r>
    </w:p>
    <w:p>
      <w:pPr>
        <w:spacing w:after="0" w:line="213" w:lineRule="exact"/>
        <w:rPr>
          <w:rFonts w:ascii="Arial" w:cs="Arial" w:eastAsia="Arial" w:hAnsi="Arial"/>
          <w:sz w:val="22"/>
          <w:szCs w:val="22"/>
          <w:color w:val="auto"/>
        </w:rPr>
      </w:pPr>
    </w:p>
    <w:p>
      <w:pPr>
        <w:ind w:left="1640" w:right="100" w:hanging="409"/>
        <w:spacing w:after="0" w:line="273" w:lineRule="auto"/>
        <w:tabs>
          <w:tab w:leader="none" w:pos="16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consideration of you continuing to advise the Interim CEO and the Company on an as needed basis, if you enter into and comply with this Agreement you will continue to vest in the Granted Shares subject to the Restricted Stock Agreement between you and the Company dated May 14, 2015 (the “RSA”), from the Resignation Date through November 15, 2018, (the “Consultancy Period”), unless the Company terminates the Consultancy Period on an earlier date due to your breach of this Agreement or for Cause as defined in the Company’s 2017 Stock Incentive Plan (the “Plan”). All remaining unvested Granted Shares (as defined in the RSA) will be forfeited on the last day of the Consultancy Period in accordance with the terms of the Plan and the RSA. Notwithstanding anything to the contrary (whether herein, in the Plan or any predecessor plan, any award agreement or otherwise), you acknowledge and agree that, except as set forth in subparts (d) and (e) of this section, you shall not vest in any other outstanding equity award(s) after the Resignation Date.</w:t>
      </w:r>
    </w:p>
    <w:p>
      <w:pPr>
        <w:spacing w:after="0" w:line="189" w:lineRule="exact"/>
        <w:rPr>
          <w:sz w:val="20"/>
          <w:szCs w:val="20"/>
          <w:color w:val="auto"/>
        </w:rPr>
      </w:pPr>
    </w:p>
    <w:p>
      <w:pPr>
        <w:ind w:right="160" w:firstLine="810"/>
        <w:spacing w:after="0"/>
        <w:rPr>
          <w:sz w:val="20"/>
          <w:szCs w:val="20"/>
          <w:color w:val="auto"/>
        </w:rPr>
      </w:pPr>
      <w:r>
        <w:rPr>
          <w:rFonts w:ascii="Arial" w:cs="Arial" w:eastAsia="Arial" w:hAnsi="Arial"/>
          <w:sz w:val="22"/>
          <w:szCs w:val="22"/>
          <w:color w:val="auto"/>
        </w:rPr>
        <w:t>To the extent applicable, the Severance Payments, "COBRA" payments and lump-sum payment will commence (or, in the case of the lump-sum payment, be paid) within sixty (60) days after your termination, and once they commence, will include any unpaid amounts accrued from the date of your termination.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Confidentiality/Non-Disparagement</w:t>
      </w:r>
      <w:r>
        <w:rPr>
          <w:rFonts w:ascii="Arial" w:cs="Arial" w:eastAsia="Arial" w:hAnsi="Arial"/>
          <w:sz w:val="22"/>
          <w:szCs w:val="22"/>
          <w:color w:val="auto"/>
        </w:rPr>
        <w:t>. You hereby expressly agree to and acknowledge the following:</w:t>
      </w:r>
    </w:p>
    <w:p>
      <w:pPr>
        <w:spacing w:after="0" w:line="239" w:lineRule="exact"/>
        <w:rPr>
          <w:sz w:val="20"/>
          <w:szCs w:val="20"/>
          <w:color w:val="auto"/>
        </w:rPr>
      </w:pPr>
    </w:p>
    <w:p>
      <w:pPr>
        <w:ind w:left="800" w:right="60" w:firstLine="806"/>
        <w:spacing w:after="0" w:line="235" w:lineRule="auto"/>
        <w:tabs>
          <w:tab w:leader="none" w:pos="2440" w:val="left"/>
        </w:tabs>
        <w:numPr>
          <w:ilvl w:val="0"/>
          <w:numId w:val="43"/>
        </w:numPr>
        <w:rPr>
          <w:rFonts w:ascii="Arial" w:cs="Arial" w:eastAsia="Arial" w:hAnsi="Arial"/>
          <w:sz w:val="21"/>
          <w:szCs w:val="21"/>
          <w:color w:val="auto"/>
        </w:rPr>
      </w:pPr>
      <w:r>
        <w:rPr>
          <w:rFonts w:ascii="Arial" w:cs="Arial" w:eastAsia="Arial" w:hAnsi="Arial"/>
          <w:sz w:val="22"/>
          <w:szCs w:val="22"/>
          <w:color w:val="auto"/>
        </w:rPr>
        <w:t>that you have returned to Company all Company documents (and any copies thereof) and property, that you shall abide by the Invention and Non-Disclosure Agreement and the Non-Compete and Non-Solicitation Agreement that you have previously executed (the “Employment Agreements,” the terms of which are hereby incorporated by reference and shall survive the signing of this Agreement), and that you otherwise shall abide by any and all common law and/or statutory obligations relating to protection and non-disclosure of Company’s trade secrets and/or confidential and proprietary documents and information;</w:t>
      </w:r>
    </w:p>
    <w:p>
      <w:pPr>
        <w:spacing w:after="0" w:line="215" w:lineRule="exact"/>
        <w:rPr>
          <w:rFonts w:ascii="Arial" w:cs="Arial" w:eastAsia="Arial" w:hAnsi="Arial"/>
          <w:sz w:val="21"/>
          <w:szCs w:val="21"/>
          <w:color w:val="auto"/>
        </w:rPr>
      </w:pPr>
    </w:p>
    <w:p>
      <w:pPr>
        <w:ind w:left="800" w:right="20" w:firstLine="806"/>
        <w:spacing w:after="0" w:line="252" w:lineRule="auto"/>
        <w:tabs>
          <w:tab w:leader="none" w:pos="2497" w:val="left"/>
        </w:tabs>
        <w:numPr>
          <w:ilvl w:val="0"/>
          <w:numId w:val="43"/>
        </w:numPr>
        <w:rPr>
          <w:rFonts w:ascii="Arial" w:cs="Arial" w:eastAsia="Arial" w:hAnsi="Arial"/>
          <w:sz w:val="20"/>
          <w:szCs w:val="20"/>
          <w:color w:val="auto"/>
        </w:rPr>
      </w:pPr>
      <w:r>
        <w:rPr>
          <w:rFonts w:ascii="Arial" w:cs="Arial" w:eastAsia="Arial" w:hAnsi="Arial"/>
          <w:sz w:val="21"/>
          <w:szCs w:val="21"/>
          <w:color w:val="auto"/>
        </w:rPr>
        <w:t>that except to the extent required by law, all information relating in any way to the subject matters of this Agreement, including the terms and amounts, shall be held confidential by you and shall not be publicized or disclosed to any person (other than an immediate family member, legal counsel or financial advisor, provided that any such individual to whom disclosure is made agrees to be bound by these 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317500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300" w:top="1050" w:right="259" w:bottom="1440" w:gutter="0" w:footer="0" w:header="0"/>
        </w:sectPr>
      </w:pPr>
    </w:p>
    <w:bookmarkStart w:id="60" w:name="page61"/>
    <w:bookmarkEnd w:id="60"/>
    <w:p>
      <w:pPr>
        <w:ind w:left="800"/>
        <w:spacing w:after="0"/>
        <w:rPr>
          <w:sz w:val="20"/>
          <w:szCs w:val="20"/>
          <w:color w:val="auto"/>
        </w:rPr>
      </w:pPr>
      <w:r>
        <w:rPr>
          <w:rFonts w:ascii="Arial" w:cs="Arial" w:eastAsia="Arial" w:hAnsi="Arial"/>
          <w:sz w:val="22"/>
          <w:szCs w:val="22"/>
          <w:color w:val="auto"/>
        </w:rPr>
        <w:t>obligations), business entity or government agency (except as mandated by state or federal law);</w:t>
      </w:r>
    </w:p>
    <w:p>
      <w:pPr>
        <w:spacing w:after="0" w:line="233" w:lineRule="exact"/>
        <w:rPr>
          <w:sz w:val="20"/>
          <w:szCs w:val="20"/>
          <w:color w:val="auto"/>
        </w:rPr>
      </w:pPr>
    </w:p>
    <w:p>
      <w:pPr>
        <w:ind w:left="800" w:right="120" w:firstLine="806"/>
        <w:spacing w:after="0" w:line="235" w:lineRule="auto"/>
        <w:tabs>
          <w:tab w:leader="none" w:pos="2555" w:val="left"/>
        </w:tabs>
        <w:numPr>
          <w:ilvl w:val="0"/>
          <w:numId w:val="44"/>
        </w:numPr>
        <w:rPr>
          <w:rFonts w:ascii="Arial" w:cs="Arial" w:eastAsia="Arial" w:hAnsi="Arial"/>
          <w:sz w:val="21"/>
          <w:szCs w:val="21"/>
          <w:color w:val="auto"/>
        </w:rPr>
      </w:pPr>
      <w:r>
        <w:rPr>
          <w:rFonts w:ascii="Arial" w:cs="Arial" w:eastAsia="Arial" w:hAnsi="Arial"/>
          <w:sz w:val="22"/>
          <w:szCs w:val="22"/>
          <w:color w:val="auto"/>
        </w:rPr>
        <w:t>that except to the extent required by law, you will not make any statements that are professionally or personally disparaging about or adverse to the interests of Company (including its officers, directors and employees) including, but not limited to, any statements that disparage any person, product, service, finances, financial condition, capability or any other aspect of the business of Company, and that you will not engage in any conduct that is intended to harm professionally or personally the reputation of Company (including its officers, directors and employees); and</w:t>
      </w:r>
    </w:p>
    <w:p>
      <w:pPr>
        <w:spacing w:after="0" w:line="215" w:lineRule="exact"/>
        <w:rPr>
          <w:rFonts w:ascii="Arial" w:cs="Arial" w:eastAsia="Arial" w:hAnsi="Arial"/>
          <w:sz w:val="21"/>
          <w:szCs w:val="21"/>
          <w:color w:val="auto"/>
        </w:rPr>
      </w:pPr>
    </w:p>
    <w:p>
      <w:pPr>
        <w:ind w:left="800" w:right="320" w:firstLine="806"/>
        <w:spacing w:after="0" w:line="238" w:lineRule="auto"/>
        <w:tabs>
          <w:tab w:leader="none" w:pos="1994"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that the breach of any of the foregoing covenants by you shall constitute a material breach of this Agreement and shall relieve Company of any further obligations hereunder and, in addition to any other legal or equitable remedy available to Company, shall entitle Company to recover any monies already paid to you pursuant to Section on Severance Pay and Benefits in this Agreement.</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21"/>
          <w:szCs w:val="21"/>
          <w:b w:val="1"/>
          <w:bCs w:val="1"/>
          <w:u w:val="single" w:color="auto"/>
          <w:color w:val="auto"/>
        </w:rPr>
        <w:t>Release of Claims</w:t>
      </w:r>
      <w:r>
        <w:rPr>
          <w:rFonts w:ascii="Arial" w:cs="Arial" w:eastAsia="Arial" w:hAnsi="Arial"/>
          <w:sz w:val="21"/>
          <w:szCs w:val="21"/>
          <w:color w:val="auto"/>
        </w:rPr>
        <w:t>. You hereby agree and acknowledge that by signing this Agreement and accepting the Severance Pay and</w:t>
      </w:r>
      <w:r>
        <w:rPr>
          <w:rFonts w:ascii="Arial" w:cs="Arial" w:eastAsia="Arial" w:hAnsi="Arial"/>
          <w:sz w:val="21"/>
          <w:szCs w:val="21"/>
          <w:b w:val="1"/>
          <w:bCs w:val="1"/>
          <w:color w:val="auto"/>
        </w:rPr>
        <w:t xml:space="preserve"> </w:t>
      </w:r>
      <w:r>
        <w:rPr>
          <w:rFonts w:ascii="Arial" w:cs="Arial" w:eastAsia="Arial" w:hAnsi="Arial"/>
          <w:sz w:val="21"/>
          <w:szCs w:val="21"/>
          <w:color w:val="auto"/>
        </w:rPr>
        <w:t>Benefits set forth above to be provided to you, and other good and valuable consideration provided for in this Agreement, you are waiving your right to assert any form of legal claim against Company (as it is defined above) of any kind whatsoever from the beginning of time through the date you execute this Agreement. Your waiver and release herein is intended to bar any form of legal claim, charge, complaint or any other form of action (jointly referred to as “Claims”) against the Company seeking any form of relief including, without limitation, equitable relief (whether declaratory, injunctive or otherwise), the recovery of any damages or any other form of monetary recovery whatsoever (including, without limitation, back pay, front pay, compensatory damages, emotional distress damages, punitive damages, attorneys’ fees and any other costs) against the Company, up through the date you sign this Agreement.</w:t>
      </w:r>
    </w:p>
    <w:p>
      <w:pPr>
        <w:spacing w:after="0" w:line="209" w:lineRule="exact"/>
        <w:rPr>
          <w:sz w:val="20"/>
          <w:szCs w:val="20"/>
          <w:color w:val="auto"/>
        </w:rPr>
      </w:pPr>
    </w:p>
    <w:p>
      <w:pPr>
        <w:ind w:right="420" w:firstLine="810"/>
        <w:spacing w:after="0"/>
        <w:rPr>
          <w:sz w:val="20"/>
          <w:szCs w:val="20"/>
          <w:color w:val="auto"/>
        </w:rPr>
      </w:pPr>
      <w:r>
        <w:rPr>
          <w:rFonts w:ascii="Arial" w:cs="Arial" w:eastAsia="Arial" w:hAnsi="Arial"/>
          <w:sz w:val="22"/>
          <w:szCs w:val="22"/>
          <w:color w:val="auto"/>
        </w:rPr>
        <w:t>Without limiting the foregoing general waiver and release of claims, you specifically waive and release the Company from any Claim arising from or related to your employment relationship with the Company or the termination thereof, including, without limitation:</w:t>
      </w:r>
    </w:p>
    <w:p>
      <w:pPr>
        <w:spacing w:after="0" w:line="213" w:lineRule="exact"/>
        <w:rPr>
          <w:sz w:val="20"/>
          <w:szCs w:val="20"/>
          <w:color w:val="auto"/>
        </w:rPr>
      </w:pPr>
    </w:p>
    <w:p>
      <w:pPr>
        <w:ind w:left="800" w:right="160" w:firstLine="806"/>
        <w:spacing w:after="0" w:line="246" w:lineRule="auto"/>
        <w:tabs>
          <w:tab w:leader="none" w:pos="2440" w:val="left"/>
        </w:tabs>
        <w:numPr>
          <w:ilvl w:val="0"/>
          <w:numId w:val="45"/>
        </w:numPr>
        <w:rPr>
          <w:rFonts w:ascii="Arial" w:cs="Arial" w:eastAsia="Arial" w:hAnsi="Arial"/>
          <w:sz w:val="20"/>
          <w:szCs w:val="20"/>
          <w:color w:val="auto"/>
        </w:rPr>
      </w:pPr>
      <w:r>
        <w:rPr>
          <w:rFonts w:ascii="Arial" w:cs="Arial" w:eastAsia="Arial" w:hAnsi="Arial"/>
          <w:sz w:val="21"/>
          <w:szCs w:val="21"/>
          <w:color w:val="auto"/>
        </w:rPr>
        <w:t>Claims under any state or federal discrimination, fair employment practices or other employment related statute, regulation or executive order (as they may have been amended through the execution date of this Agreement) prohibiting discrimination or harassment based upon any protected status including, without limitation, race, national origin, age, gender, marital status, disability, veteran status or sexual orientation. Without limitation, specifically included in this paragraph are any Claims arising under the federal Age Discrimination in Employment Act, the Older Workers Benefit Protection Act, the Civil Rights Acts of 1866 and 1871, Title VII of the Civil Rights Act of 1964, the Civil Rights Act of 1991, the Equal Pay Act, the Americans With Disabilities Act and any similar Massachusetts or other state statute.</w:t>
      </w:r>
    </w:p>
    <w:p>
      <w:pPr>
        <w:spacing w:after="0" w:line="207" w:lineRule="exact"/>
        <w:rPr>
          <w:rFonts w:ascii="Arial" w:cs="Arial" w:eastAsia="Arial" w:hAnsi="Arial"/>
          <w:sz w:val="20"/>
          <w:szCs w:val="20"/>
          <w:color w:val="auto"/>
        </w:rPr>
      </w:pPr>
    </w:p>
    <w:p>
      <w:pPr>
        <w:ind w:left="800" w:right="100" w:firstLine="806"/>
        <w:spacing w:after="0" w:line="251" w:lineRule="auto"/>
        <w:tabs>
          <w:tab w:leader="none" w:pos="2497" w:val="left"/>
        </w:tabs>
        <w:numPr>
          <w:ilvl w:val="0"/>
          <w:numId w:val="45"/>
        </w:numPr>
        <w:rPr>
          <w:rFonts w:ascii="Arial" w:cs="Arial" w:eastAsia="Arial" w:hAnsi="Arial"/>
          <w:sz w:val="21"/>
          <w:szCs w:val="21"/>
          <w:color w:val="auto"/>
        </w:rPr>
      </w:pPr>
      <w:r>
        <w:rPr>
          <w:rFonts w:ascii="Arial" w:cs="Arial" w:eastAsia="Arial" w:hAnsi="Arial"/>
          <w:sz w:val="22"/>
          <w:szCs w:val="22"/>
          <w:color w:val="auto"/>
        </w:rPr>
        <w:t>Claims under any other state or federal employment related statute, regulation or executive order (as they may have been amended through the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316865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300" w:top="807" w:right="259" w:bottom="1440" w:gutter="0" w:footer="0" w:header="0"/>
        </w:sectPr>
      </w:pPr>
    </w:p>
    <w:bookmarkStart w:id="61" w:name="page62"/>
    <w:bookmarkEnd w:id="61"/>
    <w:p>
      <w:pPr>
        <w:ind w:left="800"/>
        <w:spacing w:after="0" w:line="236" w:lineRule="auto"/>
        <w:rPr>
          <w:sz w:val="20"/>
          <w:szCs w:val="20"/>
          <w:color w:val="auto"/>
        </w:rPr>
      </w:pPr>
      <w:r>
        <w:rPr>
          <w:rFonts w:ascii="Arial" w:cs="Arial" w:eastAsia="Arial" w:hAnsi="Arial"/>
          <w:sz w:val="22"/>
          <w:szCs w:val="22"/>
          <w:color w:val="auto"/>
        </w:rPr>
        <w:t>date of this Agreement) relating to wages, hours or any other terms and conditions of employment. Without limitation, specifically included in this paragraph are any Claims arising under the Fair Labor Standards Act, the Family and Medical Leave Act of 1993, the National Labor Relations Act, the Employee Retirement Income Security Act of 1974, the Consolidated Omnibus Budget Reconciliation Act of 1985 (COBRA), the Massachusetts Wage Act and any similar Massachusetts or other state statute.</w:t>
      </w:r>
    </w:p>
    <w:p>
      <w:pPr>
        <w:spacing w:after="0" w:line="215" w:lineRule="exact"/>
        <w:rPr>
          <w:sz w:val="20"/>
          <w:szCs w:val="20"/>
          <w:color w:val="auto"/>
        </w:rPr>
      </w:pPr>
    </w:p>
    <w:p>
      <w:pPr>
        <w:ind w:left="800" w:right="20" w:firstLine="806"/>
        <w:spacing w:after="0" w:line="287" w:lineRule="auto"/>
        <w:tabs>
          <w:tab w:leader="none" w:pos="2555" w:val="left"/>
        </w:tabs>
        <w:numPr>
          <w:ilvl w:val="0"/>
          <w:numId w:val="46"/>
        </w:numPr>
        <w:rPr>
          <w:rFonts w:ascii="Arial" w:cs="Arial" w:eastAsia="Arial" w:hAnsi="Arial"/>
          <w:sz w:val="19"/>
          <w:szCs w:val="19"/>
          <w:color w:val="auto"/>
        </w:rPr>
      </w:pPr>
      <w:r>
        <w:rPr>
          <w:rFonts w:ascii="Arial" w:cs="Arial" w:eastAsia="Arial" w:hAnsi="Arial"/>
          <w:sz w:val="19"/>
          <w:szCs w:val="19"/>
          <w:color w:val="auto"/>
        </w:rPr>
        <w:t>Claims under any state or federal common law theory including, without limitation, wrongful discharge, breach of express or implied contract, promissory estoppel, unjust enrichment, breach of a covenant of good faith and fair dealing, violation of public policy, defamation, interference with contractual relations, intentional or negligent infliction of emotional distress, invasion of privacy, misrepresentation, deceit, fraud or negligence.</w:t>
      </w:r>
    </w:p>
    <w:p>
      <w:pPr>
        <w:spacing w:after="0" w:line="170" w:lineRule="exact"/>
        <w:rPr>
          <w:rFonts w:ascii="Arial" w:cs="Arial" w:eastAsia="Arial" w:hAnsi="Arial"/>
          <w:sz w:val="19"/>
          <w:szCs w:val="19"/>
          <w:color w:val="auto"/>
        </w:rPr>
      </w:pPr>
    </w:p>
    <w:p>
      <w:pPr>
        <w:ind w:left="2560" w:hanging="954"/>
        <w:spacing w:after="0"/>
        <w:tabs>
          <w:tab w:leader="none" w:pos="2560" w:val="left"/>
        </w:tabs>
        <w:numPr>
          <w:ilvl w:val="0"/>
          <w:numId w:val="46"/>
        </w:numPr>
        <w:rPr>
          <w:rFonts w:ascii="Arial" w:cs="Arial" w:eastAsia="Arial" w:hAnsi="Arial"/>
          <w:sz w:val="21"/>
          <w:szCs w:val="21"/>
          <w:color w:val="auto"/>
        </w:rPr>
      </w:pPr>
      <w:r>
        <w:rPr>
          <w:rFonts w:ascii="Arial" w:cs="Arial" w:eastAsia="Arial" w:hAnsi="Arial"/>
          <w:sz w:val="22"/>
          <w:szCs w:val="22"/>
          <w:color w:val="auto"/>
        </w:rPr>
        <w:t>Any other Claim arising under state or federal law.</w:t>
      </w:r>
    </w:p>
    <w:p>
      <w:pPr>
        <w:spacing w:after="0" w:line="233" w:lineRule="exact"/>
        <w:rPr>
          <w:sz w:val="20"/>
          <w:szCs w:val="20"/>
          <w:color w:val="auto"/>
        </w:rPr>
      </w:pPr>
    </w:p>
    <w:p>
      <w:pPr>
        <w:ind w:right="120" w:firstLine="810"/>
        <w:spacing w:after="0" w:line="246" w:lineRule="auto"/>
        <w:rPr>
          <w:sz w:val="20"/>
          <w:szCs w:val="20"/>
          <w:color w:val="auto"/>
        </w:rPr>
      </w:pPr>
      <w:r>
        <w:rPr>
          <w:rFonts w:ascii="Arial" w:cs="Arial" w:eastAsia="Arial" w:hAnsi="Arial"/>
          <w:sz w:val="22"/>
          <w:szCs w:val="22"/>
          <w:color w:val="auto"/>
        </w:rPr>
        <w:t xml:space="preserve">Notwithstanding the foregoing, this Section shall not release the Company from any obligation expressly set forth in this Agreement. </w:t>
      </w:r>
      <w:r>
        <w:rPr>
          <w:rFonts w:ascii="Arial" w:cs="Arial" w:eastAsia="Arial" w:hAnsi="Arial"/>
          <w:sz w:val="20"/>
          <w:szCs w:val="20"/>
          <w:color w:val="auto"/>
        </w:rPr>
        <w:t>In addition, the Company hereby acknowledges that you are not releasing: (i) claims that you may not release as a</w:t>
      </w:r>
      <w:r>
        <w:rPr>
          <w:rFonts w:ascii="Arial" w:cs="Arial" w:eastAsia="Arial" w:hAnsi="Arial"/>
          <w:sz w:val="22"/>
          <w:szCs w:val="22"/>
          <w:color w:val="auto"/>
        </w:rPr>
        <w:t xml:space="preserve"> </w:t>
      </w:r>
      <w:r>
        <w:rPr>
          <w:rFonts w:ascii="Arial" w:cs="Arial" w:eastAsia="Arial" w:hAnsi="Arial"/>
          <w:sz w:val="20"/>
          <w:szCs w:val="20"/>
          <w:color w:val="auto"/>
        </w:rPr>
        <w:t xml:space="preserve">matter of law; (ii) expenses to be reimbursed by the Company’s applicable reimbursement policy or program; (iii) any rights that you may have under a Director &amp; Officer insurance policy; (iv) indemnification rights that you may be entitled to receive under the Company’s or any affiliate’s organizational and/or governance documents; or (v) any remaining rights you have with respect to Granted Shares that are vested or will become vested pursuant to the terms of this Agreement. </w:t>
      </w:r>
      <w:r>
        <w:rPr>
          <w:rFonts w:ascii="Arial" w:cs="Arial" w:eastAsia="Arial" w:hAnsi="Arial"/>
          <w:sz w:val="21"/>
          <w:szCs w:val="21"/>
          <w:color w:val="auto"/>
        </w:rPr>
        <w:t>You acknowledge and agree that, but for</w:t>
      </w:r>
      <w:r>
        <w:rPr>
          <w:rFonts w:ascii="Arial" w:cs="Arial" w:eastAsia="Arial" w:hAnsi="Arial"/>
          <w:sz w:val="20"/>
          <w:szCs w:val="20"/>
          <w:color w:val="auto"/>
        </w:rPr>
        <w:t xml:space="preserve"> </w:t>
      </w:r>
      <w:r>
        <w:rPr>
          <w:rFonts w:ascii="Arial" w:cs="Arial" w:eastAsia="Arial" w:hAnsi="Arial"/>
          <w:sz w:val="21"/>
          <w:szCs w:val="21"/>
          <w:color w:val="auto"/>
        </w:rPr>
        <w:t>providing this waiver and release of claims, you would not be receiving the Severance Pay and Benefits being provided to you under the terms of this Agreement.</w:t>
      </w:r>
    </w:p>
    <w:p>
      <w:pPr>
        <w:spacing w:after="0" w:line="208" w:lineRule="exact"/>
        <w:rPr>
          <w:sz w:val="20"/>
          <w:szCs w:val="20"/>
          <w:color w:val="auto"/>
        </w:rPr>
      </w:pPr>
    </w:p>
    <w:p>
      <w:pPr>
        <w:ind w:right="100" w:firstLine="810"/>
        <w:spacing w:after="0" w:line="238" w:lineRule="auto"/>
        <w:rPr>
          <w:sz w:val="20"/>
          <w:szCs w:val="20"/>
          <w:color w:val="auto"/>
        </w:rPr>
      </w:pPr>
      <w:r>
        <w:rPr>
          <w:rFonts w:ascii="Arial" w:cs="Arial" w:eastAsia="Arial" w:hAnsi="Arial"/>
          <w:sz w:val="22"/>
          <w:szCs w:val="22"/>
          <w:color w:val="auto"/>
        </w:rPr>
        <w:t>You explicitly acknowledge that because you are over forty (40) years of age, you have specific rights under the Age Discrimination in Employment Act and the Older Workers Benefits Protection Act (“OWBPA”), which prohibit discrimination on the basis of age, and that the releases set forth in this section are intended to release any right that you may have to file a claim against Demos alleging discrimination on the basis of age.</w:t>
      </w:r>
    </w:p>
    <w:p>
      <w:pPr>
        <w:spacing w:after="0" w:line="212" w:lineRule="exact"/>
        <w:rPr>
          <w:sz w:val="20"/>
          <w:szCs w:val="20"/>
          <w:color w:val="auto"/>
        </w:rPr>
      </w:pPr>
    </w:p>
    <w:p>
      <w:pPr>
        <w:ind w:right="20" w:firstLine="810"/>
        <w:spacing w:after="0" w:line="247" w:lineRule="auto"/>
        <w:rPr>
          <w:sz w:val="20"/>
          <w:szCs w:val="20"/>
          <w:color w:val="auto"/>
        </w:rPr>
      </w:pPr>
      <w:r>
        <w:rPr>
          <w:rFonts w:ascii="Arial" w:cs="Arial" w:eastAsia="Arial" w:hAnsi="Arial"/>
          <w:sz w:val="21"/>
          <w:szCs w:val="21"/>
          <w:color w:val="auto"/>
        </w:rPr>
        <w:t>Consistent with the provisions of OWBPA, the Company is providing you with twenty-one (21) days (until May 28, 2018) in which to consider and accept the terms of this Agreement by signing below and returning it to Maiken Keson-Brookes at Synlogic, 200 Sidney Street, Suite 320, Cambridge, MA 02139. Of course, you may choose to sign and return this Agreement sooner than May 28, 2018 if you wish. In addition, you may rescind your assent to this Agreement if, within seven (7) days after you sign this Agreement, you deliver a notice of rescission to Ms. Keson-Brookes. To be effective, such rescission must be hand delivered or postmarked within the seven (7) day period and sent by certified mail, return receipt requested, to Ms. Keson Brookes at the Company’s address listed above.</w:t>
      </w:r>
    </w:p>
    <w:p>
      <w:pPr>
        <w:spacing w:after="0" w:line="199" w:lineRule="exact"/>
        <w:rPr>
          <w:sz w:val="20"/>
          <w:szCs w:val="20"/>
          <w:color w:val="auto"/>
        </w:rPr>
      </w:pPr>
    </w:p>
    <w:p>
      <w:pPr>
        <w:ind w:right="520" w:firstLine="810"/>
        <w:spacing w:after="0" w:line="239" w:lineRule="auto"/>
        <w:rPr>
          <w:sz w:val="20"/>
          <w:szCs w:val="20"/>
          <w:color w:val="auto"/>
        </w:rPr>
      </w:pPr>
      <w:r>
        <w:rPr>
          <w:rFonts w:ascii="Arial" w:cs="Arial" w:eastAsia="Arial" w:hAnsi="Arial"/>
          <w:sz w:val="22"/>
          <w:szCs w:val="22"/>
          <w:b w:val="1"/>
          <w:bCs w:val="1"/>
          <w:color w:val="auto"/>
        </w:rPr>
        <w:t>Also, consistent with the provisions of the ADEA and other Federal Discrimination Laws, nothing in this release shall be deemed to prohibit you from challenging the validity of this release under the federal age or other discrimination laws (the “Federal Discrimination Laws”) or from filing a charge or complaint of age or other employment related discrimination with the Equal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325120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807" w:right="239" w:bottom="1440" w:gutter="0" w:footer="0" w:header="0"/>
        </w:sectPr>
      </w:pPr>
    </w:p>
    <w:bookmarkStart w:id="62" w:name="page63"/>
    <w:bookmarkEnd w:id="62"/>
    <w:p>
      <w:pPr>
        <w:ind w:left="60"/>
        <w:spacing w:after="0" w:line="249" w:lineRule="auto"/>
        <w:rPr>
          <w:sz w:val="20"/>
          <w:szCs w:val="20"/>
          <w:color w:val="auto"/>
        </w:rPr>
      </w:pPr>
      <w:r>
        <w:rPr>
          <w:rFonts w:ascii="Arial" w:cs="Arial" w:eastAsia="Arial" w:hAnsi="Arial"/>
          <w:sz w:val="21"/>
          <w:szCs w:val="21"/>
          <w:b w:val="1"/>
          <w:bCs w:val="1"/>
          <w:color w:val="auto"/>
        </w:rPr>
        <w:t>Opportunity Commission (“EEOC”), or from participating in any investigation or proceeding conducted by the EEOC. Further, nothing in this release or Agreement shall be deemed to limit the Company’s right to seek immediate dismissal of such charge or complaint on the basis that your signing of this Agreement constitutes a full release of any individual rights under the Federal Discrimination Laws, or to seek restitution to the extent permitted by law of the economic benefits provided to you under this Agreement in the event that you successfully challenge the validity of this release and prevail in any claim under the Federal Discrimination Laws.</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You are advised to consult with counsel before entering into this Agreement.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SYNLOGIC,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P</w:t>
            </w:r>
            <w:r>
              <w:rPr>
                <w:rFonts w:ascii="Arial" w:cs="Arial" w:eastAsia="Arial" w:hAnsi="Arial"/>
                <w:sz w:val="14"/>
                <w:szCs w:val="14"/>
                <w:color w:val="auto"/>
              </w:rPr>
              <w:t>ETER BARRETT</w:t>
            </w:r>
          </w:p>
        </w:tc>
        <w:tc>
          <w:tcPr>
            <w:tcW w:w="2480" w:type="dxa"/>
            <w:vAlign w:val="bottom"/>
          </w:tcPr>
          <w:p>
            <w:pPr>
              <w:ind w:left="1260"/>
              <w:spacing w:after="0"/>
              <w:rPr>
                <w:sz w:val="20"/>
                <w:szCs w:val="20"/>
                <w:color w:val="auto"/>
              </w:rPr>
            </w:pPr>
            <w:r>
              <w:rPr>
                <w:rFonts w:ascii="Arial" w:cs="Arial" w:eastAsia="Arial" w:hAnsi="Arial"/>
                <w:sz w:val="22"/>
                <w:szCs w:val="22"/>
                <w:color w:val="auto"/>
                <w:w w:val="89"/>
              </w:rPr>
              <w:t>May 10, 2018</w:t>
            </w:r>
          </w:p>
        </w:tc>
      </w:tr>
      <w:tr>
        <w:trPr>
          <w:trHeight w:val="215"/>
        </w:trPr>
        <w:tc>
          <w:tcPr>
            <w:tcW w:w="4740" w:type="dxa"/>
            <w:vAlign w:val="bottom"/>
          </w:tcPr>
          <w:p>
            <w:pPr>
              <w:spacing w:after="0" w:line="216" w:lineRule="exact"/>
              <w:rPr>
                <w:sz w:val="20"/>
                <w:szCs w:val="20"/>
                <w:color w:val="auto"/>
              </w:rPr>
            </w:pPr>
            <w:r>
              <w:rPr>
                <w:rFonts w:ascii="Arial" w:cs="Arial" w:eastAsia="Arial" w:hAnsi="Arial"/>
                <w:sz w:val="22"/>
                <w:szCs w:val="22"/>
                <w:color w:val="auto"/>
              </w:rPr>
              <w:t>Peter Barrett</w:t>
            </w:r>
          </w:p>
        </w:tc>
        <w:tc>
          <w:tcPr>
            <w:tcW w:w="2480" w:type="dxa"/>
            <w:vAlign w:val="bottom"/>
          </w:tcPr>
          <w:p>
            <w:pPr>
              <w:ind w:left="1260"/>
              <w:spacing w:after="0" w:line="216" w:lineRule="exact"/>
              <w:rPr>
                <w:sz w:val="20"/>
                <w:szCs w:val="20"/>
                <w:color w:val="auto"/>
              </w:rPr>
            </w:pPr>
            <w:r>
              <w:rPr>
                <w:rFonts w:ascii="Arial" w:cs="Arial" w:eastAsia="Arial" w:hAnsi="Arial"/>
                <w:sz w:val="22"/>
                <w:szCs w:val="22"/>
                <w:color w:val="auto"/>
              </w:rPr>
              <w:t>Date</w:t>
            </w:r>
          </w:p>
        </w:tc>
      </w:tr>
      <w:tr>
        <w:trPr>
          <w:trHeight w:val="275"/>
        </w:trPr>
        <w:tc>
          <w:tcPr>
            <w:tcW w:w="4740" w:type="dxa"/>
            <w:vAlign w:val="bottom"/>
          </w:tcPr>
          <w:p>
            <w:pPr>
              <w:spacing w:after="0"/>
              <w:rPr>
                <w:sz w:val="20"/>
                <w:szCs w:val="20"/>
                <w:color w:val="auto"/>
              </w:rPr>
            </w:pPr>
            <w:r>
              <w:rPr>
                <w:rFonts w:ascii="Arial" w:cs="Arial" w:eastAsia="Arial" w:hAnsi="Arial"/>
                <w:sz w:val="22"/>
                <w:szCs w:val="22"/>
                <w:color w:val="auto"/>
              </w:rPr>
              <w:t>Chairman, Board of Directors</w:t>
            </w:r>
          </w:p>
        </w:tc>
        <w:tc>
          <w:tcPr>
            <w:tcW w:w="2480" w:type="dxa"/>
            <w:vAlign w:val="bottom"/>
          </w:tcPr>
          <w:p>
            <w:pPr>
              <w:spacing w:after="0"/>
              <w:rPr>
                <w:sz w:val="23"/>
                <w:szCs w:val="23"/>
                <w:color w:val="auto"/>
              </w:rPr>
            </w:pPr>
          </w:p>
        </w:tc>
      </w:tr>
      <w:tr>
        <w:trPr>
          <w:trHeight w:val="972"/>
        </w:trPr>
        <w:tc>
          <w:tcPr>
            <w:tcW w:w="4740" w:type="dxa"/>
            <w:vAlign w:val="bottom"/>
          </w:tcPr>
          <w:p>
            <w:pPr>
              <w:spacing w:after="0"/>
              <w:rPr>
                <w:sz w:val="20"/>
                <w:szCs w:val="20"/>
                <w:color w:val="auto"/>
              </w:rPr>
            </w:pPr>
            <w:r>
              <w:rPr>
                <w:rFonts w:ascii="Arial" w:cs="Arial" w:eastAsia="Arial" w:hAnsi="Arial"/>
                <w:sz w:val="22"/>
                <w:szCs w:val="22"/>
                <w:color w:val="auto"/>
              </w:rPr>
              <w:t>ACCEPTED AND AGREED BY:</w:t>
            </w:r>
          </w:p>
        </w:tc>
        <w:tc>
          <w:tcPr>
            <w:tcW w:w="2480" w:type="dxa"/>
            <w:vAlign w:val="bottom"/>
          </w:tcPr>
          <w:p>
            <w:pPr>
              <w:spacing w:after="0"/>
              <w:rPr>
                <w:sz w:val="24"/>
                <w:szCs w:val="24"/>
                <w:color w:val="auto"/>
              </w:rPr>
            </w:pPr>
          </w:p>
        </w:tc>
      </w:tr>
      <w:tr>
        <w:trPr>
          <w:trHeight w:val="719"/>
        </w:trPr>
        <w:tc>
          <w:tcPr>
            <w:tcW w:w="4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Jose Carlos Gutiérrez-Ramos</w:t>
            </w:r>
          </w:p>
        </w:tc>
        <w:tc>
          <w:tcPr>
            <w:tcW w:w="2480" w:type="dxa"/>
            <w:vAlign w:val="bottom"/>
          </w:tcPr>
          <w:p>
            <w:pPr>
              <w:ind w:left="1260"/>
              <w:spacing w:after="0"/>
              <w:rPr>
                <w:sz w:val="20"/>
                <w:szCs w:val="20"/>
                <w:color w:val="auto"/>
              </w:rPr>
            </w:pPr>
            <w:r>
              <w:rPr>
                <w:rFonts w:ascii="Arial" w:cs="Arial" w:eastAsia="Arial" w:hAnsi="Arial"/>
                <w:sz w:val="22"/>
                <w:szCs w:val="22"/>
                <w:color w:val="auto"/>
                <w:w w:val="89"/>
              </w:rPr>
              <w:t>May 10, 2018</w:t>
            </w:r>
          </w:p>
        </w:tc>
      </w:tr>
      <w:tr>
        <w:trPr>
          <w:trHeight w:val="268"/>
        </w:trPr>
        <w:tc>
          <w:tcPr>
            <w:tcW w:w="4740" w:type="dxa"/>
            <w:vAlign w:val="bottom"/>
          </w:tcPr>
          <w:p>
            <w:pPr>
              <w:spacing w:after="0"/>
              <w:rPr>
                <w:sz w:val="20"/>
                <w:szCs w:val="20"/>
                <w:color w:val="auto"/>
              </w:rPr>
            </w:pPr>
            <w:r>
              <w:rPr>
                <w:rFonts w:ascii="Arial" w:cs="Arial" w:eastAsia="Arial" w:hAnsi="Arial"/>
                <w:sz w:val="22"/>
                <w:szCs w:val="22"/>
                <w:color w:val="auto"/>
              </w:rPr>
              <w:t>Jose Carlos Gutiérrez-Ramos</w:t>
            </w:r>
          </w:p>
        </w:tc>
        <w:tc>
          <w:tcPr>
            <w:tcW w:w="2480" w:type="dxa"/>
            <w:vAlign w:val="bottom"/>
          </w:tcPr>
          <w:p>
            <w:pPr>
              <w:ind w:left="1260"/>
              <w:spacing w:after="0"/>
              <w:rPr>
                <w:sz w:val="20"/>
                <w:szCs w:val="20"/>
                <w:color w:val="auto"/>
              </w:rPr>
            </w:pPr>
            <w:r>
              <w:rPr>
                <w:rFonts w:ascii="Arial" w:cs="Arial" w:eastAsia="Arial" w:hAnsi="Arial"/>
                <w:sz w:val="22"/>
                <w:szCs w:val="22"/>
                <w:color w:val="auto"/>
              </w:rPr>
              <w:t>Date</w:t>
            </w:r>
          </w:p>
        </w:tc>
      </w:tr>
    </w:tbl>
    <w:p>
      <w:pPr>
        <w:sectPr>
          <w:pgSz w:w="11900" w:h="16838" w:orient="portrait"/>
          <w:cols w:equalWidth="0" w:num="1">
            <w:col w:w="11400"/>
          </w:cols>
          <w:pgMar w:left="240" w:top="801" w:right="2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Aoife Brennan, certify that:</w:t>
      </w:r>
    </w:p>
    <w:p>
      <w:pPr>
        <w:spacing w:after="0" w:line="225"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73"/>
        <w:spacing w:after="0" w:line="264"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2"/>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2"/>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OIFE</w:t>
      </w:r>
      <w:r>
        <w:rPr>
          <w:rFonts w:ascii="Arial" w:cs="Arial" w:eastAsia="Arial" w:hAnsi="Arial"/>
          <w:sz w:val="18"/>
          <w:szCs w:val="18"/>
          <w:color w:val="auto"/>
        </w:rPr>
        <w:t xml:space="preserve"> B</w:t>
      </w:r>
      <w:r>
        <w:rPr>
          <w:rFonts w:ascii="Arial" w:cs="Arial" w:eastAsia="Arial" w:hAnsi="Arial"/>
          <w:sz w:val="12"/>
          <w:szCs w:val="12"/>
          <w:color w:val="auto"/>
        </w:rPr>
        <w:t>RENNAN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5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Todd Shegog,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73"/>
        <w:spacing w:after="0" w:line="264"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2"/>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2"/>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w:t>
      </w:r>
      <w:r>
        <w:rPr>
          <w:rFonts w:ascii="Arial" w:cs="Arial" w:eastAsia="Arial" w:hAnsi="Arial"/>
          <w:sz w:val="12"/>
          <w:szCs w:val="12"/>
          <w:color w:val="auto"/>
        </w:rPr>
        <w:t>ODD</w:t>
      </w:r>
      <w:r>
        <w:rPr>
          <w:rFonts w:ascii="Arial" w:cs="Arial" w:eastAsia="Arial" w:hAnsi="Arial"/>
          <w:sz w:val="18"/>
          <w:szCs w:val="18"/>
          <w:color w:val="auto"/>
        </w:rPr>
        <w:t xml:space="preserve"> S</w:t>
      </w:r>
      <w:r>
        <w:rPr>
          <w:rFonts w:ascii="Arial" w:cs="Arial" w:eastAsia="Arial" w:hAnsi="Arial"/>
          <w:sz w:val="12"/>
          <w:szCs w:val="12"/>
          <w:color w:val="auto"/>
        </w:rPr>
        <w:t>HEGOG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Todd Shegog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18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35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In connection with the Quarterly Report of Synlogic, Inc. (the “Company”) on Form 10-Q for the period ended March 31, 2018 as filed with the Securities and Exchange Commission on the date hereof (the “Report”), I, Aoife Brennan, Interim Chief Executive Officer of the Company, certify, pursuant to 18 U.S.C. Section 1350, as adopted pursuant to Section 906 of the Sarbanes-Oxley Act of 2002, to my knowledge that:</w:t>
      </w:r>
    </w:p>
    <w:p>
      <w:pPr>
        <w:spacing w:after="0" w:line="57" w:lineRule="exact"/>
        <w:rPr>
          <w:sz w:val="20"/>
          <w:szCs w:val="20"/>
          <w:color w:val="auto"/>
        </w:rPr>
      </w:pPr>
    </w:p>
    <w:p>
      <w:pPr>
        <w:ind w:left="1040" w:hanging="519"/>
        <w:spacing w:after="0"/>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OIFE</w:t>
      </w:r>
      <w:r>
        <w:rPr>
          <w:rFonts w:ascii="Arial" w:cs="Arial" w:eastAsia="Arial" w:hAnsi="Arial"/>
          <w:sz w:val="18"/>
          <w:szCs w:val="18"/>
          <w:color w:val="auto"/>
        </w:rPr>
        <w:t xml:space="preserve"> B</w:t>
      </w:r>
      <w:r>
        <w:rPr>
          <w:rFonts w:ascii="Arial" w:cs="Arial" w:eastAsia="Arial" w:hAnsi="Arial"/>
          <w:sz w:val="12"/>
          <w:szCs w:val="12"/>
          <w:color w:val="auto"/>
        </w:rPr>
        <w:t>RENNAN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15, 2018</w:t>
      </w:r>
    </w:p>
    <w:p>
      <w:pPr>
        <w:spacing w:after="0" w:line="11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40" w:firstLine="518"/>
        <w:spacing w:after="0" w:line="286" w:lineRule="auto"/>
        <w:rPr>
          <w:sz w:val="20"/>
          <w:szCs w:val="20"/>
          <w:color w:val="auto"/>
        </w:rPr>
      </w:pPr>
      <w:r>
        <w:rPr>
          <w:rFonts w:ascii="Arial" w:cs="Arial" w:eastAsia="Arial" w:hAnsi="Arial"/>
          <w:sz w:val="17"/>
          <w:szCs w:val="17"/>
          <w:color w:val="auto"/>
        </w:rPr>
        <w:t>In connection with the Quarterly Report of Synlogic, Inc. (the “Company”) on Form 10-Q for the period ended March 31, 2018 as filed with the Securities and Exchange Commission on the date hereof (the “Report”), I, Todd Shegog, Chief Financial Officer of the Company, certify, pursuant to 18 U.S.C. Section 1350, as adopted pursuant to Section 906 of the Sarbanes-Oxley Act of 2002, to my knowledge that:</w:t>
      </w:r>
    </w:p>
    <w:p>
      <w:pPr>
        <w:spacing w:after="0" w:line="57" w:lineRule="exact"/>
        <w:rPr>
          <w:sz w:val="20"/>
          <w:szCs w:val="20"/>
          <w:color w:val="auto"/>
        </w:rPr>
      </w:pPr>
    </w:p>
    <w:p>
      <w:pPr>
        <w:ind w:left="1040" w:hanging="519"/>
        <w:spacing w:after="0"/>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ODD</w:t>
      </w:r>
      <w:r>
        <w:rPr>
          <w:rFonts w:ascii="Arial" w:cs="Arial" w:eastAsia="Arial" w:hAnsi="Arial"/>
          <w:sz w:val="18"/>
          <w:szCs w:val="18"/>
          <w:color w:val="auto"/>
        </w:rPr>
        <w:t xml:space="preserve"> S</w:t>
      </w:r>
      <w:r>
        <w:rPr>
          <w:rFonts w:ascii="Arial" w:cs="Arial" w:eastAsia="Arial" w:hAnsi="Arial"/>
          <w:sz w:val="12"/>
          <w:szCs w:val="12"/>
          <w:color w:val="auto"/>
        </w:rPr>
        <w:t>HEGOG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Todd Shegog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91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15, 2018</w:t>
      </w:r>
    </w:p>
    <w:p>
      <w:pPr>
        <w:spacing w:after="0" w:line="11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1)"/>
      <w:numFmt w:val="decimal"/>
      <w:start w:val="3"/>
    </w:lvl>
  </w:abstractNum>
  <w:abstractNum w:abstractNumId="5">
    <w:nsid w:val="8138641"/>
    <w:multiLevelType w:val="hybridMultilevel"/>
    <w:lvl w:ilvl="0">
      <w:lvlJc w:val="left"/>
      <w:lvlText w:val="(%1)"/>
      <w:numFmt w:val="lowerRoman"/>
      <w:start w:val="3"/>
    </w:lvl>
  </w:abstractNum>
  <w:abstractNum w:abstractNumId="6">
    <w:nsid w:val="1E7FF521"/>
    <w:multiLevelType w:val="hybridMultilevel"/>
    <w:lvl w:ilvl="0">
      <w:lvlJc w:val="left"/>
      <w:lvlText w:val="(%1)"/>
      <w:numFmt w:val="decimal"/>
      <w:start w:val="4"/>
    </w:lvl>
  </w:abstractNum>
  <w:abstractNum w:abstractNumId="7">
    <w:nsid w:val="7C3DBD3D"/>
    <w:multiLevelType w:val="hybridMultilevel"/>
    <w:lvl w:ilvl="0">
      <w:lvlJc w:val="left"/>
      <w:lvlText w:val="(%1)"/>
      <w:numFmt w:val="decimal"/>
      <w:start w:val="5"/>
    </w:lvl>
  </w:abstractNum>
  <w:abstractNum w:abstractNumId="8">
    <w:nsid w:val="737B8DDC"/>
    <w:multiLevelType w:val="hybridMultilevel"/>
    <w:lvl w:ilvl="0">
      <w:lvlJc w:val="left"/>
      <w:lvlText w:val="(%1)"/>
      <w:numFmt w:val="decimal"/>
      <w:start w:val="6"/>
    </w:lvl>
  </w:abstractNum>
  <w:abstractNum w:abstractNumId="9">
    <w:nsid w:val="6CEAF087"/>
    <w:multiLevelType w:val="hybridMultilevel"/>
    <w:lvl w:ilvl="0">
      <w:lvlJc w:val="left"/>
      <w:lvlText w:val="(%1)"/>
      <w:numFmt w:val="decimal"/>
      <w:start w:val="7"/>
    </w:lvl>
  </w:abstractNum>
  <w:abstractNum w:abstractNumId="10">
    <w:nsid w:val="22221A70"/>
    <w:multiLevelType w:val="hybridMultilevel"/>
    <w:lvl w:ilvl="0">
      <w:lvlJc w:val="left"/>
      <w:lvlText w:val="(%1)"/>
      <w:numFmt w:val="decimal"/>
      <w:start w:val="8"/>
    </w:lvl>
    <w:lvl w:ilvl="1">
      <w:lvlJc w:val="left"/>
      <w:lvlText w:val="•"/>
      <w:numFmt w:val="bullet"/>
      <w:start w:val="1"/>
    </w:lvl>
  </w:abstractNum>
  <w:abstractNum w:abstractNumId="11">
    <w:nsid w:val="4516DDE9"/>
    <w:multiLevelType w:val="hybridMultilevel"/>
    <w:lvl w:ilvl="0">
      <w:lvlJc w:val="left"/>
      <w:lvlText w:val="(%1)"/>
      <w:numFmt w:val="decimal"/>
      <w:start w:val="9"/>
    </w:lvl>
  </w:abstractNum>
  <w:abstractNum w:abstractNumId="12">
    <w:nsid w:val="3006C83E"/>
    <w:multiLevelType w:val="hybridMultilevel"/>
    <w:lvl w:ilvl="0">
      <w:lvlJc w:val="left"/>
      <w:lvlText w:val="(%1)"/>
      <w:numFmt w:val="decimal"/>
      <w:start w:val="10"/>
    </w:lvl>
  </w:abstractNum>
  <w:abstractNum w:abstractNumId="13">
    <w:nsid w:val="614FD4A1"/>
    <w:multiLevelType w:val="hybridMultilevel"/>
    <w:lvl w:ilvl="0">
      <w:lvlJc w:val="left"/>
      <w:lvlText w:val="(%1)"/>
      <w:numFmt w:val="decimal"/>
      <w:start w:val="11"/>
    </w:lvl>
  </w:abstractNum>
  <w:abstractNum w:abstractNumId="14">
    <w:nsid w:val="419AC241"/>
    <w:multiLevelType w:val="hybridMultilevel"/>
    <w:lvl w:ilvl="0">
      <w:lvlJc w:val="left"/>
      <w:lvlText w:val="(%1)"/>
      <w:numFmt w:val="lowerLetter"/>
      <w:start w:val="1"/>
    </w:lvl>
  </w:abstractNum>
  <w:abstractNum w:abstractNumId="15">
    <w:nsid w:val="5577F8E1"/>
    <w:multiLevelType w:val="hybridMultilevel"/>
    <w:lvl w:ilvl="0">
      <w:lvlJc w:val="left"/>
      <w:lvlText w:val="(%1)"/>
      <w:numFmt w:val="decimal"/>
      <w:start w:val="12"/>
    </w:lvl>
  </w:abstractNum>
  <w:abstractNum w:abstractNumId="16">
    <w:nsid w:val="440BADFC"/>
    <w:multiLevelType w:val="hybridMultilevel"/>
    <w:lvl w:ilvl="0">
      <w:lvlJc w:val="left"/>
      <w:lvlText w:val="(%1)"/>
      <w:numFmt w:val="decimal"/>
      <w:start w:val="13"/>
    </w:lvl>
  </w:abstractNum>
  <w:abstractNum w:abstractNumId="17">
    <w:nsid w:val="5072367"/>
    <w:multiLevelType w:val="hybridMultilevel"/>
    <w:lvl w:ilvl="0">
      <w:lvlJc w:val="left"/>
      <w:lvlText w:val="(%1)"/>
      <w:numFmt w:val="decimal"/>
      <w:start w:val="14"/>
    </w:lvl>
  </w:abstractNum>
  <w:abstractNum w:abstractNumId="18">
    <w:nsid w:val="3804823E"/>
    <w:multiLevelType w:val="hybridMultilevel"/>
    <w:lvl w:ilvl="0">
      <w:lvlJc w:val="left"/>
      <w:lvlText w:val="(%1)"/>
      <w:numFmt w:val="decimal"/>
      <w:start w:val="15"/>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1)"/>
      <w:numFmt w:val="lowerLetter"/>
      <w:start w:val="1"/>
    </w:lvl>
  </w:abstractNum>
  <w:abstractNum w:abstractNumId="41">
    <w:nsid w:val="7644A45C"/>
    <w:multiLevelType w:val="hybridMultilevel"/>
    <w:lvl w:ilvl="0">
      <w:lvlJc w:val="left"/>
      <w:lvlText w:val="%1)"/>
      <w:numFmt w:val="lowerLetter"/>
      <w:start w:val="4"/>
    </w:lvl>
  </w:abstractNum>
  <w:abstractNum w:abstractNumId="42">
    <w:nsid w:val="32FFF902"/>
    <w:multiLevelType w:val="hybridMultilevel"/>
    <w:lvl w:ilvl="0">
      <w:lvlJc w:val="left"/>
      <w:lvlText w:val="(%1)"/>
      <w:numFmt w:val="lowerRoman"/>
      <w:start w:val="1"/>
    </w:lvl>
  </w:abstractNum>
  <w:abstractNum w:abstractNumId="43">
    <w:nsid w:val="684A481A"/>
    <w:multiLevelType w:val="hybridMultilevel"/>
    <w:lvl w:ilvl="0">
      <w:lvlJc w:val="left"/>
      <w:lvlText w:val="(%1)"/>
      <w:numFmt w:val="lowerRoman"/>
      <w:start w:val="3"/>
    </w:lvl>
  </w:abstractNum>
  <w:abstractNum w:abstractNumId="44">
    <w:nsid w:val="579478FE"/>
    <w:multiLevelType w:val="hybridMultilevel"/>
    <w:lvl w:ilvl="0">
      <w:lvlJc w:val="left"/>
      <w:lvlText w:val="(%1)"/>
      <w:numFmt w:val="lowerRoman"/>
      <w:start w:val="1"/>
    </w:lvl>
  </w:abstractNum>
  <w:abstractNum w:abstractNumId="45">
    <w:nsid w:val="749ABB43"/>
    <w:multiLevelType w:val="hybridMultilevel"/>
    <w:lvl w:ilvl="0">
      <w:lvlJc w:val="left"/>
      <w:lvlText w:val="(%1)"/>
      <w:numFmt w:val="lowerRoman"/>
      <w:start w:val="3"/>
    </w:lvl>
  </w:abstractNum>
  <w:abstractNum w:abstractNumId="46">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7">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8">
    <w:nsid w:val="79A1DEA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9">
    <w:nsid w:val="75C6C3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1">
    <w:nsid w:val="70C6A52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75" Type="http://schemas.openxmlformats.org/officeDocument/2006/relationships/hyperlink" Target="http://www.sec.gov/Archives/edgar/data/1527599/000119312518109307/d56441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2019-12-28T22:03:09Z</dcterms:created>
  <dcterms:modified xsi:type="dcterms:W3CDTF">2019-12-28T22:03:09Z</dcterms:modified>
</cp:coreProperties>
</file>