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ybx-20260630.htm"/>
      <w:bookmarkStart w:id="1" w:name="kssybx202606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 FOR THE TRANSITION PERIOD FROM TO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001-37566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SYNLOGIC,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Delaware</w:t>
            </w:r>
          </w:p>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26-1824804</w:t>
            </w:r>
          </w:p>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PO Box</w:t>
            </w:r>
            <w:r>
              <w:rPr>
                <w:rFonts w:ascii="Times New Roman" w:hAnsi="Times New Roman"/>
                <w:color w:val="000000"/>
                <w:sz w:val="20"/>
              </w:rPr>
              <w:t xml:space="preserve"> </w:t>
            </w:r>
            <w:r>
              <w:rPr>
                <w:rFonts w:ascii="Times New Roman" w:hAnsi="Times New Roman"/>
                <w:b/>
                <w:color w:val="000000"/>
                <w:sz w:val="20"/>
              </w:rPr>
              <w:t>30</w:t>
            </w:r>
          </w:p>
          <w:p>
            <w:pPr>
              <w:pStyle w:val="TableContents"/>
              <w:bidi w:val="0"/>
              <w:jc w:val="center"/>
              <w:rPr>
                <w:rFonts w:ascii="Times New Roman" w:hAnsi="Times New Roman"/>
                <w:b/>
                <w:color w:val="000000"/>
                <w:sz w:val="20"/>
              </w:rPr>
            </w:pPr>
            <w:r>
              <w:rPr>
                <w:rFonts w:ascii="Times New Roman" w:hAnsi="Times New Roman"/>
                <w:b/>
                <w:color w:val="000000"/>
                <w:sz w:val="20"/>
              </w:rPr>
              <w:t>Winchester, MA</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01890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r>
        <w:trPr/>
        <w:tc>
          <w:tcPr>
            <w:tcW w:w="4558"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(617) 659-2802</w:t>
            </w:r>
          </w:p>
          <w:p>
            <w:pPr>
              <w:pStyle w:val="TableContents"/>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ableContents"/>
              <w:bidi w:val="0"/>
              <w:jc w:val="center"/>
              <w:rPr/>
            </w:pPr>
            <w:r>
              <w:rPr/>
              <w:t> </w:t>
            </w:r>
          </w:p>
          <w:p>
            <w:pPr>
              <w:pStyle w:val="TableContents"/>
              <w:bidi w:val="0"/>
              <w:jc w:val="center"/>
              <w:rPr>
                <w:rFonts w:ascii="Times New Roman" w:hAnsi="Times New Roman"/>
                <w:color w:val="000000"/>
                <w:sz w:val="18"/>
              </w:rPr>
            </w:pPr>
            <w:r>
              <w:rPr>
                <w:rFonts w:ascii="Times New Roman" w:hAnsi="Times New Roman"/>
                <w:color w:val="000000"/>
                <w:sz w:val="18"/>
              </w:rPr>
              <w:t>Securities registered pursuant to Section 12(b) of the Act:</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None</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530" w:type="dxa"/>
        <w:jc w:val="left"/>
        <w:tblInd w:w="0" w:type="dxa"/>
        <w:tblLayout w:type="fixed"/>
        <w:tblCellMar>
          <w:top w:w="28" w:type="dxa"/>
          <w:left w:w="28" w:type="dxa"/>
          <w:bottom w:w="28" w:type="dxa"/>
          <w:right w:w="28" w:type="dxa"/>
        </w:tblCellMar>
      </w:tblPr>
      <w:tblGrid>
        <w:gridCol w:w="1666"/>
        <w:gridCol w:w="316"/>
        <w:gridCol w:w="14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As of August 4, 2026, there were</w:t>
      </w:r>
      <w:r>
        <w:rPr>
          <w:rFonts w:ascii="Times New Roman" w:hAnsi="Times New Roman"/>
          <w:color w:val="000000"/>
          <w:sz w:val="20"/>
        </w:rPr>
        <w:t xml:space="preserve"> </w:t>
      </w:r>
      <w:r>
        <w:rPr>
          <w:rFonts w:ascii="Times New Roman" w:hAnsi="Times New Roman"/>
          <w:color w:val="000000"/>
          <w:sz w:val="18"/>
        </w:rPr>
        <w:t>12,248,950</w:t>
      </w:r>
      <w:r>
        <w:rPr>
          <w:rFonts w:ascii="Times New Roman" w:hAnsi="Times New Roman"/>
          <w:color w:val="000000"/>
          <w:sz w:val="20"/>
        </w:rPr>
        <w:t xml:space="preserve"> </w:t>
      </w:r>
      <w:r>
        <w:rPr>
          <w:rFonts w:ascii="Times New Roman" w:hAnsi="Times New Roman"/>
          <w:color w:val="000000"/>
          <w:sz w:val="18"/>
        </w:rPr>
        <w:t>shares of the registrant’s common stock, par value $0.001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forthcoming merger with Caldera Therapeutics, Inc. and the parties’ ability to consummate and realize the benefits of such merger;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for shares of our common stock given that they are currently quoted on the OTCID Basic Market and may experience limited trading;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any additional collaborative, licensing or other arrangements that we may establish;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acquisition of businesses, products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infrastructure and internal systems;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uncertainties, including those listed under Part II, Item 1A. “Risk Factors.”</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in the “Risk Factors” section contained in our Annual Report on Form 10-K for the fiscal year ended December 31, 2025 (the 2025 Annual Report), filed with the Securities and Exchange Commission (the SEC) on March 12, 2026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SYNLOGIC,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638" w:type="dxa"/>
        <w:jc w:val="left"/>
        <w:tblInd w:w="0" w:type="dxa"/>
        <w:tblLayout w:type="fixed"/>
        <w:tblCellMar>
          <w:top w:w="28" w:type="dxa"/>
          <w:left w:w="28" w:type="dxa"/>
          <w:bottom w:w="28" w:type="dxa"/>
          <w:right w:w="28" w:type="dxa"/>
        </w:tblCellMar>
      </w:tblPr>
      <w:tblGrid>
        <w:gridCol w:w="7981"/>
        <w:gridCol w:w="146"/>
        <w:gridCol w:w="511"/>
      </w:tblGrid>
      <w:tr>
        <w:trPr/>
        <w:tc>
          <w:tcPr>
            <w:tcW w:w="7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 - FINANCIAL INFORMATION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 Financial Statements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unaudited_consolidated_balance_sheets">
              <w:r>
                <w:rPr>
                  <w:rStyle w:val="InternetLink"/>
                  <w:rFonts w:ascii="Times New Roman" w:hAnsi="Times New Roman"/>
                  <w:color w:val="0000FF"/>
                  <w:sz w:val="20"/>
                  <w:u w:val="single"/>
                </w:rPr>
                <w:t>Unaudited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unaudited_consolidated_statements_operat">
              <w:r>
                <w:rPr>
                  <w:rStyle w:val="InternetLink"/>
                  <w:rFonts w:ascii="Times New Roman" w:hAnsi="Times New Roman"/>
                  <w:color w:val="0000FF"/>
                  <w:sz w:val="20"/>
                  <w:u w:val="single"/>
                </w:rPr>
                <w:t>Unaudited Consolidated Statements of Operations and Comprehensive Income (Loss)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unaudited_consolidated_statements_stockh">
              <w:r>
                <w:rPr>
                  <w:rStyle w:val="InternetLink"/>
                  <w:rFonts w:ascii="Times New Roman" w:hAnsi="Times New Roman"/>
                  <w:color w:val="0000FF"/>
                  <w:sz w:val="20"/>
                  <w:u w:val="single"/>
                </w:rPr>
                <w:t>Unaudited Consolidated Statements of Stockholders’ Equity</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unaudited_consolidated_statements_cash_f">
              <w:r>
                <w:rPr>
                  <w:rStyle w:val="InternetLink"/>
                  <w:rFonts w:ascii="Times New Roman" w:hAnsi="Times New Roman"/>
                  <w:color w:val="0000FF"/>
                  <w:sz w:val="20"/>
                  <w:u w:val="single"/>
                </w:rPr>
                <w:t>Unaudited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notes_to_unaudited_consolidated_financia">
              <w:r>
                <w:rPr>
                  <w:rStyle w:val="InternetLink"/>
                  <w:rFonts w:ascii="Times New Roman" w:hAnsi="Times New Roman"/>
                  <w:color w:val="0000FF"/>
                  <w:sz w:val="20"/>
                  <w:u w:val="single"/>
                </w:rPr>
                <w:t>Notes to Unaudited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3quantitativeandqualitativedis">
              <w:r>
                <w:rPr>
                  <w:rStyle w:val="InternetLink"/>
                  <w:rFonts w:ascii="Times New Roman" w:hAnsi="Times New Roman"/>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4controlsandprocedures">
              <w:r>
                <w:rPr>
                  <w:rStyle w:val="InternetLink"/>
                  <w:rFonts w:ascii="Times New Roman" w:hAnsi="Times New Roman"/>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 - OTHER INFORMATION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SYNlogic, Inc. and SUBSIDIARIES</w:t>
      </w:r>
    </w:p>
    <w:p>
      <w:pPr>
        <w:pStyle w:val="TextBody"/>
        <w:bidi w:val="0"/>
        <w:spacing w:before="120" w:after="283"/>
        <w:jc w:val="center"/>
        <w:rPr>
          <w:rFonts w:ascii="Times New Roman" w:hAnsi="Times New Roman"/>
          <w:color w:val="000000"/>
          <w:sz w:val="20"/>
        </w:rPr>
      </w:pPr>
      <w:bookmarkStart w:id="2" w:name="unaudited_consolidated_balance_sheets"/>
      <w:bookmarkEnd w:id="2"/>
      <w:r>
        <w:rPr>
          <w:rFonts w:ascii="Times New Roman" w:hAnsi="Times New Roman"/>
          <w:color w:val="000000"/>
          <w:sz w:val="20"/>
        </w:rPr>
        <w:t>Unaudited Consolidated Balance Sheets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5"/>
        <w:gridCol w:w="146"/>
        <w:gridCol w:w="211"/>
        <w:gridCol w:w="841"/>
        <w:gridCol w:w="166"/>
        <w:gridCol w:w="146"/>
        <w:gridCol w:w="214"/>
        <w:gridCol w:w="854"/>
        <w:gridCol w:w="612"/>
      </w:tblGrid>
      <w:tr>
        <w:trPr/>
        <w:tc>
          <w:tcPr>
            <w:tcW w:w="7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14,668</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15,397</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15,447</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250,000,000 shares authorized as of June 30, 2026 and December 31, 2025;</w:t>
              <w:br/>
              <w:t>   11,978,711 shares issued and 11,696,641 shares outstanding as of June 30, 2026 and 11,978,711 shares issued and 11,698,919 shares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457,025</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(442,656</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at cost (282,070 shares at June 30, 2026 and 279,792 shares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11,863</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15,447</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Synlogic, INC. aND SUBSIDIARIES</w:t>
      </w:r>
    </w:p>
    <w:p>
      <w:pPr>
        <w:pStyle w:val="TextBody"/>
        <w:bidi w:val="0"/>
        <w:spacing w:before="120" w:after="283"/>
        <w:jc w:val="center"/>
        <w:rPr>
          <w:rFonts w:ascii="Times New Roman" w:hAnsi="Times New Roman"/>
          <w:color w:val="000000"/>
          <w:sz w:val="20"/>
        </w:rPr>
      </w:pPr>
      <w:bookmarkStart w:id="3" w:name="unaudited_consolidated_statements_operat"/>
      <w:bookmarkEnd w:id="3"/>
      <w:r>
        <w:rPr>
          <w:rFonts w:ascii="Times New Roman" w:hAnsi="Times New Roman"/>
          <w:color w:val="000000"/>
          <w:sz w:val="20"/>
        </w:rPr>
        <w:t>Unaudited Consolidated Statements of Operations and Comprehensive Income (Loss)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0"/>
        <w:gridCol w:w="211"/>
        <w:gridCol w:w="1036"/>
        <w:gridCol w:w="166"/>
        <w:gridCol w:w="146"/>
        <w:gridCol w:w="211"/>
        <w:gridCol w:w="1036"/>
        <w:gridCol w:w="166"/>
        <w:gridCol w:w="146"/>
        <w:gridCol w:w="211"/>
        <w:gridCol w:w="1036"/>
        <w:gridCol w:w="166"/>
        <w:gridCol w:w="146"/>
        <w:gridCol w:w="211"/>
        <w:gridCol w:w="1036"/>
        <w:gridCol w:w="611"/>
      </w:tblGrid>
      <w:tr>
        <w:trPr/>
        <w:tc>
          <w:tcPr>
            <w:tcW w:w="36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Restructuring and other charges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and investment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purchase warrant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 per share -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 basic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12,418,592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12,319,147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12,406,266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12,301,476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12,418,592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12,319,147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12,407,049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12,301,476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income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Synlogic, INC. AND SUBSIDIARIES</w:t>
      </w:r>
    </w:p>
    <w:p>
      <w:pPr>
        <w:pStyle w:val="TextBody"/>
        <w:bidi w:val="0"/>
        <w:spacing w:before="20" w:after="283"/>
        <w:jc w:val="center"/>
        <w:rPr>
          <w:rFonts w:ascii="Times New Roman" w:hAnsi="Times New Roman"/>
          <w:color w:val="000000"/>
          <w:sz w:val="20"/>
        </w:rPr>
      </w:pPr>
      <w:bookmarkStart w:id="4" w:name="unaudited_consolidated_statements_stockh"/>
      <w:bookmarkEnd w:id="4"/>
      <w:r>
        <w:rPr>
          <w:rFonts w:ascii="Times New Roman" w:hAnsi="Times New Roman"/>
          <w:color w:val="000000"/>
          <w:sz w:val="20"/>
        </w:rPr>
        <w:t>Unaudited Consolidated Statements of Stockholders’ Equity</w:t>
      </w:r>
    </w:p>
    <w:p>
      <w:pPr>
        <w:pStyle w:val="TextBody"/>
        <w:bidi w:val="0"/>
        <w:spacing w:before="20" w:after="283"/>
        <w:jc w:val="center"/>
        <w:rPr>
          <w:rFonts w:ascii="Times New Roman" w:hAnsi="Times New Roman"/>
          <w:color w:val="000000"/>
          <w:sz w:val="20"/>
        </w:rPr>
      </w:pPr>
      <w:r>
        <w:rPr>
          <w:rFonts w:ascii="Times New Roman" w:hAnsi="Times New Roman"/>
          <w:color w:val="000000"/>
          <w:sz w:val="20"/>
        </w:rPr>
        <w:t>(In thousands, except share amounts)</w:t>
      </w:r>
    </w:p>
    <w:p>
      <w:pPr>
        <w:pStyle w:val="TextBody"/>
        <w:bidi w:val="0"/>
        <w:spacing w:before="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1196"/>
        <w:gridCol w:w="146"/>
        <w:gridCol w:w="916"/>
        <w:gridCol w:w="166"/>
        <w:gridCol w:w="249"/>
        <w:gridCol w:w="442"/>
        <w:gridCol w:w="146"/>
        <w:gridCol w:w="196"/>
        <w:gridCol w:w="691"/>
        <w:gridCol w:w="146"/>
        <w:gridCol w:w="443"/>
        <w:gridCol w:w="728"/>
        <w:gridCol w:w="146"/>
        <w:gridCol w:w="217"/>
        <w:gridCol w:w="834"/>
        <w:gridCol w:w="166"/>
        <w:gridCol w:w="196"/>
        <w:gridCol w:w="751"/>
        <w:gridCol w:w="166"/>
        <w:gridCol w:w="196"/>
        <w:gridCol w:w="571"/>
        <w:gridCol w:w="166"/>
        <w:gridCol w:w="274"/>
        <w:gridCol w:w="845"/>
        <w:gridCol w:w="212"/>
      </w:tblGrid>
      <w:tr>
        <w:trPr/>
        <w:tc>
          <w:tcPr>
            <w:tcW w:w="1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Common stock </w:t>
              <w:br/>
              <w:t>$0.001 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 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97" w:type="dxa"/>
            <w:gridSpan w:val="2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11,978,711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12,554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Forfeiture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11,978,711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457,041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(282,070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12,017</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97" w:type="dxa"/>
            <w:gridSpan w:val="23"/>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11,975,901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13,093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Cancellation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11,978,711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456,962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(441,863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12,593</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97" w:type="dxa"/>
            <w:gridSpan w:val="23"/>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11,978,711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11,863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Forfeiture of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11,978,711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457,041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(442,518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12,017</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2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11,975,901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12,751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Cancellation of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11,978,711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456,962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(441,863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12,593</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Synlogic, INC. AND SUBSIDIARIES</w:t>
      </w:r>
    </w:p>
    <w:p>
      <w:pPr>
        <w:pStyle w:val="TextBody"/>
        <w:bidi w:val="0"/>
        <w:spacing w:before="120" w:after="283"/>
        <w:jc w:val="center"/>
        <w:rPr>
          <w:rFonts w:ascii="Times New Roman" w:hAnsi="Times New Roman"/>
          <w:color w:val="000000"/>
          <w:sz w:val="20"/>
        </w:rPr>
      </w:pPr>
      <w:bookmarkStart w:id="5" w:name="unaudited_consolidated_statements_cash_f"/>
      <w:bookmarkEnd w:id="5"/>
      <w:r>
        <w:rPr>
          <w:rFonts w:ascii="Times New Roman" w:hAnsi="Times New Roman"/>
          <w:color w:val="000000"/>
          <w:sz w:val="20"/>
        </w:rPr>
        <w:t>Unaudited Consolidated Statements of Cash Flows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5709"/>
        <w:gridCol w:w="746"/>
        <w:gridCol w:w="314"/>
        <w:gridCol w:w="1008"/>
        <w:gridCol w:w="166"/>
        <w:gridCol w:w="146"/>
        <w:gridCol w:w="314"/>
        <w:gridCol w:w="1008"/>
        <w:gridCol w:w="794"/>
      </w:tblGrid>
      <w:tr>
        <w:trPr/>
        <w:tc>
          <w:tcPr>
            <w:tcW w:w="57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57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used in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3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70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disposal of property and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7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Equity-based compensation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0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warrant liability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7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13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70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70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 and accrued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sale of property and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18,910</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17,077</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spacing w:before="240" w:after="283"/>
        <w:jc w:val="center"/>
        <w:rPr>
          <w:rFonts w:ascii="Times New Roman" w:hAnsi="Times New Roman"/>
          <w:b/>
          <w:color w:val="000000"/>
          <w:sz w:val="20"/>
        </w:rPr>
      </w:pPr>
      <w:bookmarkStart w:id="6" w:name="notes_to_unaudited_consolidated_financia"/>
      <w:bookmarkEnd w:id="6"/>
      <w:r>
        <w:rPr>
          <w:rFonts w:ascii="Times New Roman" w:hAnsi="Times New Roman"/>
          <w:b/>
          <w:color w:val="000000"/>
          <w:sz w:val="20"/>
        </w:rPr>
        <w:t>Notes to Unaudited Consolidated Financial Statements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Nature of Business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Synlogic, Inc., together with its wholly owned and consolidated subsidiaries (Synlogic or the Company), is a biopharmaceutical company that previously advanced novel therapeutics to transform the care of serious diseases. The Company focused on rare metabolic disorders, with its lead program, labafenogene marselecobac (SYNB1934), studied in Synpheny-3, a global, pivotal Phase 3 study for patients with phenylketonuria (PKU), and SYNB1353, a potential treatment for homocystinuria (HCU). Both PKU and HCU are caused by inborn errors of metabolism, and present significant need for innovation due to limitations of both efficacy and safety in the currently available medical treatment options. Since incorporation, the Company has devoted substantially all of its efforts to the research and development of its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the Company and its board of directors decided to discontinue the Synpheny-3 trial and to conduct a comprehensive review of strategic alternatives. The Company also announced a corporate restructuring that resulted in a reduction in its workforce, leaving one remaining full-time employee. In addition, the Company engaged consultants to, among other things, support the strategic review process and current business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28, 2026,the Company entered into an Agreement and Plan of Merger (the Merger Agreement) with Caldera Therapeutics, Inc. (Caldera), a privately-held company based in Cambridge, Massachusetts, and certain newly formed subsidiaries of the Company. Pursuant to the Merger Agreement, and upon the terms and subject to the satisfaction or waiver of the conditions described therein, Synlogic will be merged with and into a merger subsidiary of a newly formed parent company, Sonic Holdco, Inc. (Parent), with Synlogic surviving as a wholly owned subsidiary of Parent, and Caldera will be merged with and into a separate merger subsidiary of Parent, with Caldera surviving as a wholly owned subsidiary of Parent. Upon completion of the transaction, the combined company is expected to operate under the name Caldera Therapeutics, Inc. and focus primarily on advancing Caldera’s development of CLD-423, a potential first-in-class bispecific antibody targeting the clinically validated IL-23p19 and TL1A pathways for the treatment of inflammatory bowel disease (IBD) and other immune-mediated diseases. Closing of the planned mergers (the Caldera Mergers) is subject to certain closing conditions, including, among others, approval by the stockholders of each company, the effectiveness of a registration statement filed with the U.S. Securities and Exchange Commission (the SEC) to register the securities to be issued in connection with the Caldera Mergers and the satisfaction of other customary closing conditions. The percentage of the combined company that pre-closing Synlogic security holders will own as of the closing of the Caldera Mergers is subject to adjustment based on the valuation of Synlogic immediately prior to the closing.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Going Concern and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interim unaudited consolidated financial statements have been prepared assuming it will continue as a going concern. The going concern assumption contemplates the continuity of operations, and the realization of assets and the satisfaction of liabilities in the ordinary course of business. The Company has historically generated negative cash flows from operations and has an accumulated deficit of $442.5 million at June 30, 2026. At June 30, 2026, the Company had $13.2 million in unrestricted cash and cash equivalents. The Company has determined its current cash and cash equivalents as of June 30, 2026 will be sufficient to fund its operations at the current levels for at least the next 12 months from the date of this filing.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accounting policies described in the Company’s audited financial statements as of and for the year ended December 31, 2025, and the notes thereto, which are included in the Company’s Annual Report on Form 10-K for the year ended December 31, 2025, filed with the SEC on March 12, 2026 (the 2025 Annual Report), have had no material changes during the six months ended June 30, 2026.</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interim unaudited consolidated financial statements and the related disclosures as of June 30, 2026 and for the three and six months ended June 30, 2026 and 2025 are unaudited and have been prepared in accordance with accounting principles generally accepted in the United States (GAAP) and the rules and regulations of the SEC for interim financial statements. Accordingly, they do not include all of the information and notes required by GAAP for complete financial statements. These interim unaudited consolidated financial statements should be read in conjunction with the Company’s 2025 and 2024 audited consolidated financial statements and notes included in the 2025 Annual Report. The consolidated balance sheet as of December 31, 2025 included herein was derived from the audited financial statements as of that date but does not include all disclosures including notes required by GAAP for complete financial statements. In the opinion of management, the interim unaudited consolidated financial statements reflect all adjustments, consisting of normal and recurring adjustments, necessary for the fair presentation of the Company’s financial position and results of operations for the three and six months ended June 30, 2026 and 2025. The results of operations for the interim periods are not necessarily indicative of the results to be expected for the year ending December 31, 2026 or any other interim period or future year or period.</w:t>
      </w:r>
    </w:p>
    <w:p>
      <w:pPr>
        <w:pStyle w:val="TextBody"/>
        <w:bidi w:val="0"/>
        <w:spacing w:before="16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interim unaudited consolidated financial statements include the accounts of Synlogic and its wholly owned subsidiaries. All intercompany accounts and transactions have been eliminated in consolidation.</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Financial Accounting Standards Board (FASB) or other accounting standard setting boards that the Company adopts as of the effective date. Unless otherwise discussed below, recently issued pronouncements that are or will be applicable to the Company did not have, or are not expected to have, a material impact on the Company’s present or future financial statements.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(3) Fair Value of Financial Instruments</w:t>
      </w:r>
    </w:p>
    <w:p>
      <w:pPr>
        <w:pStyle w:val="TextBody"/>
        <w:bidi w:val="0"/>
        <w:spacing w:before="120" w:after="283"/>
        <w:jc w:val="left"/>
        <w:rPr>
          <w:rFonts w:ascii="Times New Roman" w:hAnsi="Times New Roman"/>
          <w:sz w:val="20"/>
        </w:rPr>
      </w:pPr>
      <w:r>
        <w:rPr>
          <w:rFonts w:ascii="Times New Roman" w:hAnsi="Times New Roman"/>
          <w:color w:val="000000"/>
          <w:sz w:val="20"/>
        </w:rPr>
        <w:t>The tables below present information about the Company’s assets and liabilities that are measured at fair value on a recurring basis and indicate the fair value hierarchy of the valuation techniques the Company utilized to determine such fair value, as described under Note 2</w:t>
      </w:r>
      <w:r>
        <w:rPr>
          <w:rFonts w:ascii="Times New Roman" w:hAnsi="Times New Roman"/>
          <w:i/>
          <w:color w:val="000000"/>
          <w:sz w:val="20"/>
        </w:rPr>
        <w:t>, Summary of Significant Accounting Policies,</w:t>
      </w:r>
      <w:r>
        <w:rPr>
          <w:rFonts w:ascii="Times New Roman" w:hAnsi="Times New Roman"/>
          <w:color w:val="000000"/>
          <w:sz w:val="20"/>
        </w:rPr>
        <w:t xml:space="preserve"> in the audited financial statements included in the 2025 Annual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accounts for issued warrants either as derivative liabilities or as equity instruments depending on the specific terms of the agreement. Warrants that are equity-classified instruments and recorded in additional paid-in capital at issuance are not subject to remeasurement. The purchase warrants (defined below) issued in October 2023 are liability classified and recorded at fair value using the Black-Scholes option-pricing model at issuance, with any subsequent changes in fair value recognized in the consolidated statements of operations and comprehensive income (loss). We periodically evaluate changes in facts and circumstances that could impact the classification of warrants. None of the purchase warrants have been exercised since their issuance.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June 30, 2026 and December 31, 2025, the Company has classified assets and liabilities measured at fair value on a recurring basis as follows (in thousands):</w:t>
      </w:r>
    </w:p>
    <w:p>
      <w:pPr>
        <w:pStyle w:val="TextBody"/>
        <w:bidi w:val="0"/>
        <w:jc w:val="left"/>
        <w:rPr/>
      </w:pPr>
      <w:r>
        <w:rPr/>
        <w:t> </w:t>
      </w:r>
    </w:p>
    <w:tbl>
      <w:tblPr>
        <w:tblW w:w="9329" w:type="dxa"/>
        <w:jc w:val="left"/>
        <w:tblInd w:w="0" w:type="dxa"/>
        <w:tblLayout w:type="fixed"/>
        <w:tblCellMar>
          <w:top w:w="28" w:type="dxa"/>
          <w:left w:w="28" w:type="dxa"/>
          <w:bottom w:w="28" w:type="dxa"/>
          <w:right w:w="28" w:type="dxa"/>
        </w:tblCellMar>
      </w:tblPr>
      <w:tblGrid>
        <w:gridCol w:w="2191"/>
        <w:gridCol w:w="146"/>
        <w:gridCol w:w="260"/>
        <w:gridCol w:w="835"/>
        <w:gridCol w:w="146"/>
        <w:gridCol w:w="146"/>
        <w:gridCol w:w="431"/>
        <w:gridCol w:w="1384"/>
        <w:gridCol w:w="146"/>
        <w:gridCol w:w="146"/>
        <w:gridCol w:w="539"/>
        <w:gridCol w:w="886"/>
        <w:gridCol w:w="146"/>
        <w:gridCol w:w="146"/>
        <w:gridCol w:w="428"/>
        <w:gridCol w:w="1162"/>
        <w:gridCol w:w="1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w:t>
              <w:br/>
              <w:t>Markets for Identical</w:t>
              <w:b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w:t>
              <w:br/>
              <w:t>Observable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 Inputs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w:t>
              <w:br/>
              <w:t>Markets for Identical</w:t>
              <w:b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w:t>
              <w:br/>
              <w:t>Observable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 Inputs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Cash equivalents, prepaid expenses and other current assets, accounts payable and accrued expenses at June 30, 2026 and December 31, 2025 are carried at amounts that approximate fair value due to their short-term maturities.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Assumptions Used in Determining Fair Value of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assumptions used in the Black-Scholes option-pricing model for the purchase warrants on the consolidated balance sheets at June 30, 2026 and December 31, 2025 are included below:</w:t>
      </w:r>
    </w:p>
    <w:p>
      <w:pPr>
        <w:pStyle w:val="TextBody"/>
        <w:bidi w:val="0"/>
        <w:jc w:val="left"/>
        <w:rPr/>
      </w:pPr>
      <w:r>
        <w:rPr/>
        <w:t> </w:t>
      </w:r>
    </w:p>
    <w:tbl>
      <w:tblPr>
        <w:tblW w:w="6835" w:type="dxa"/>
        <w:jc w:val="left"/>
        <w:tblInd w:w="0" w:type="dxa"/>
        <w:tblLayout w:type="fixed"/>
        <w:tblCellMar>
          <w:top w:w="28" w:type="dxa"/>
          <w:left w:w="28" w:type="dxa"/>
          <w:bottom w:w="28" w:type="dxa"/>
          <w:right w:w="28" w:type="dxa"/>
        </w:tblCellMar>
      </w:tblPr>
      <w:tblGrid>
        <w:gridCol w:w="3331"/>
        <w:gridCol w:w="146"/>
        <w:gridCol w:w="350"/>
        <w:gridCol w:w="775"/>
        <w:gridCol w:w="271"/>
        <w:gridCol w:w="146"/>
        <w:gridCol w:w="467"/>
        <w:gridCol w:w="1033"/>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risk 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Strike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Prepaid Expenses and Other Current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Prepaid expenses and other current assets consist of the following (in thousands):</w:t>
      </w:r>
    </w:p>
    <w:p>
      <w:pPr>
        <w:pStyle w:val="TextBody"/>
        <w:bidi w:val="0"/>
        <w:jc w:val="left"/>
        <w:rPr/>
      </w:pPr>
      <w:r>
        <w:rPr/>
        <w:t> </w:t>
      </w:r>
    </w:p>
    <w:tbl>
      <w:tblPr>
        <w:tblW w:w="6375" w:type="dxa"/>
        <w:jc w:val="left"/>
        <w:tblInd w:w="0" w:type="dxa"/>
        <w:tblLayout w:type="fixed"/>
        <w:tblCellMar>
          <w:top w:w="28" w:type="dxa"/>
          <w:left w:w="28" w:type="dxa"/>
          <w:bottom w:w="28" w:type="dxa"/>
          <w:right w:w="28" w:type="dxa"/>
        </w:tblCellMar>
      </w:tblPr>
      <w:tblGrid>
        <w:gridCol w:w="3931"/>
        <w:gridCol w:w="146"/>
        <w:gridCol w:w="240"/>
        <w:gridCol w:w="480"/>
        <w:gridCol w:w="146"/>
        <w:gridCol w:w="146"/>
        <w:gridCol w:w="364"/>
        <w:gridCol w:w="73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 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consist of the following (in thousands):</w:t>
      </w:r>
    </w:p>
    <w:p>
      <w:pPr>
        <w:pStyle w:val="TextBody"/>
        <w:bidi w:val="0"/>
        <w:jc w:val="left"/>
        <w:rPr/>
      </w:pPr>
      <w:r>
        <w:rPr/>
        <w:t> </w:t>
      </w:r>
    </w:p>
    <w:tbl>
      <w:tblPr>
        <w:tblW w:w="4517" w:type="dxa"/>
        <w:jc w:val="left"/>
        <w:tblInd w:w="0" w:type="dxa"/>
        <w:tblLayout w:type="fixed"/>
        <w:tblCellMar>
          <w:top w:w="28" w:type="dxa"/>
          <w:left w:w="28" w:type="dxa"/>
          <w:bottom w:w="28" w:type="dxa"/>
          <w:right w:w="28" w:type="dxa"/>
        </w:tblCellMar>
      </w:tblPr>
      <w:tblGrid>
        <w:gridCol w:w="2011"/>
        <w:gridCol w:w="146"/>
        <w:gridCol w:w="211"/>
        <w:gridCol w:w="571"/>
        <w:gridCol w:w="146"/>
        <w:gridCol w:w="146"/>
        <w:gridCol w:w="364"/>
        <w:gridCol w:w="73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Restructuring and Other Charges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February 2024, the Company and its board of directors decided to discontinue the Synpheny-3 trial and announced a corporate restructuring that included a reduction in its workforce, leaving one remaining full-time employee. Following the discontinuation of Synpheny-3, Synlogic’s corporate strategy shifted to pursuing strategic initiatives to enhance stockholder value, including a potential merger or sale of the company. Synlogic initiated a strategic review process and engaged in a range of interactions with potential transaction counterparties, which ultimately resulted in the execution of the Merger Agreement (see Note 1, </w:t>
      </w:r>
      <w:r>
        <w:rPr>
          <w:rFonts w:ascii="Times New Roman" w:hAnsi="Times New Roman"/>
          <w:i/>
          <w:color w:val="000000"/>
          <w:sz w:val="20"/>
        </w:rPr>
        <w:t xml:space="preserve">Organization </w:t>
      </w:r>
      <w:r>
        <w:rPr>
          <w:rFonts w:ascii="Times New Roman" w:hAnsi="Times New Roman"/>
          <w:color w:val="000000"/>
          <w:sz w:val="20"/>
        </w:rPr>
        <w:t xml:space="preserve">in this Quarterly Report on Form 10-Q).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recorded restructuring and other charges of $0.2 million for the three months ended June 30, 2026, compared to a gain on restructuring of $0.01 million for the corresponding period in 2025. We recorded restructuring and other charges of $0.4 million for the six months ended June 30, 2026, compared to $0.03 million for the corresponding period in 2025. As of June 30, 2026, approximately $0.9 million of the total restructuring charges remain unpaid and were included in accrued restructuring charges. These charges primarily consist of personnel costs related to severance expense and retention bonuses.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(7) Stockholders’ Equity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October 2023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3, 2023, the Company issued and sold in an underwritten public offering: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3,921,928</w:t>
      </w:r>
      <w:r>
        <w:rPr>
          <w:color w:val="000000"/>
        </w:rPr>
        <w:t xml:space="preserve"> </w:t>
      </w:r>
      <w:r>
        <w:rPr>
          <w:rFonts w:ascii="Times New Roman" w:hAnsi="Times New Roman"/>
          <w:color w:val="000000"/>
          <w:sz w:val="20"/>
        </w:rPr>
        <w:t>shares of its common stock at a price of $2.84</w:t>
      </w:r>
      <w:r>
        <w:rPr>
          <w:color w:val="000000"/>
        </w:rPr>
        <w:t xml:space="preserve"> </w:t>
      </w:r>
      <w:r>
        <w:rPr>
          <w:rFonts w:ascii="Times New Roman" w:hAnsi="Times New Roman"/>
          <w:color w:val="000000"/>
          <w:sz w:val="20"/>
        </w:rPr>
        <w:t xml:space="preserve">per share, less underwriting discounts and commissions;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pre-funded warrants to purchase up to 3,472,435</w:t>
      </w:r>
      <w:r>
        <w:rPr>
          <w:color w:val="000000"/>
        </w:rPr>
        <w:t xml:space="preserve"> </w:t>
      </w:r>
      <w:r>
        <w:rPr>
          <w:rFonts w:ascii="Times New Roman" w:hAnsi="Times New Roman"/>
          <w:color w:val="000000"/>
          <w:sz w:val="20"/>
        </w:rPr>
        <w:t>shares of its common stock at a price of $2.839</w:t>
      </w:r>
      <w:r>
        <w:rPr>
          <w:color w:val="000000"/>
        </w:rPr>
        <w:t xml:space="preserve"> </w:t>
      </w:r>
      <w:r>
        <w:rPr>
          <w:rFonts w:ascii="Times New Roman" w:hAnsi="Times New Roman"/>
          <w:color w:val="000000"/>
          <w:sz w:val="20"/>
        </w:rPr>
        <w:t>exercisable immediately following the consummation of the offering;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accompanying common stock warrants (the purchase warrants) to purchase up to 7,394,363</w:t>
      </w:r>
      <w:r>
        <w:rPr>
          <w:color w:val="000000"/>
        </w:rPr>
        <w:t xml:space="preserve"> </w:t>
      </w:r>
      <w:r>
        <w:rPr>
          <w:rFonts w:ascii="Times New Roman" w:hAnsi="Times New Roman"/>
          <w:color w:val="000000"/>
          <w:sz w:val="20"/>
        </w:rPr>
        <w:t>shares of its common stock at a price of $3.408</w:t>
      </w:r>
      <w:r>
        <w:rPr>
          <w:color w:val="000000"/>
        </w:rPr>
        <w:t xml:space="preserve"> </w:t>
      </w:r>
      <w:r>
        <w:rPr>
          <w:rFonts w:ascii="Times New Roman" w:hAnsi="Times New Roman"/>
          <w:color w:val="000000"/>
          <w:sz w:val="20"/>
        </w:rPr>
        <w:t>per share that are exercisable immediately after issuance and expire five years from the date of issuance.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 full description of the Company’s October 2023 Financing, refer to Note 8, </w:t>
      </w:r>
      <w:r>
        <w:rPr>
          <w:rFonts w:ascii="Times New Roman" w:hAnsi="Times New Roman"/>
          <w:i/>
          <w:color w:val="000000"/>
          <w:sz w:val="20"/>
        </w:rPr>
        <w:t>Stockholders' Equity</w:t>
      </w:r>
      <w:r>
        <w:rPr>
          <w:rFonts w:ascii="Times New Roman" w:hAnsi="Times New Roman"/>
          <w:color w:val="000000"/>
          <w:sz w:val="20"/>
        </w:rPr>
        <w:t xml:space="preserve"> in the audited financial statements included in the 2025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June 30, 2026, the fair value of the purchase warrants was $0.3 million. Accordingly, a gain on remeasurement of the purchase warrant liability of $0.3 million and $2.2 million was recorded in the three and six months ended June 30, 2026, respectively. Subsequent to their issuance and as of June 30, 2026, 2,920,126 pre-funded warrants have been exercised. None of the purchase warrants have been exercised since their issuance.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Ginkgo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2019, the Company issued to Ginkgo an aggregate of 422,718 shares of common stock at a purchase price per share of $135, and pre-funded warrants (the Ginkgo pre-funded warrants) to purchase up to an aggregate of 169,874 shares of common stock at an exercise price of $135 per share, with $134.85 of such exercise price paid at the closing of the offering. The net proceeds to the Company were approximately $79.9 million. None of the Ginkgo pre-funded warrants have been exercised as of June 30, 2026.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 full description of the Ginkgo warrants, refer to Note 8, </w:t>
      </w:r>
      <w:r>
        <w:rPr>
          <w:rFonts w:ascii="Times New Roman" w:hAnsi="Times New Roman"/>
          <w:i/>
          <w:color w:val="000000"/>
          <w:sz w:val="20"/>
        </w:rPr>
        <w:t>Stockholders' Equity</w:t>
      </w:r>
      <w:r>
        <w:rPr>
          <w:rFonts w:ascii="Times New Roman" w:hAnsi="Times New Roman"/>
          <w:color w:val="000000"/>
          <w:sz w:val="20"/>
        </w:rPr>
        <w:t xml:space="preserve"> in the audited financial statements included in the 2025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reserved for future issuance the following shares of common stock related to the potential exercise of warrants and stock options: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192" w:type="dxa"/>
        <w:jc w:val="left"/>
        <w:tblInd w:w="0" w:type="dxa"/>
        <w:tblLayout w:type="fixed"/>
        <w:tblCellMar>
          <w:top w:w="28" w:type="dxa"/>
          <w:left w:w="28" w:type="dxa"/>
          <w:bottom w:w="28" w:type="dxa"/>
          <w:right w:w="28" w:type="dxa"/>
        </w:tblCellMar>
      </w:tblPr>
      <w:tblGrid>
        <w:gridCol w:w="4876"/>
        <w:gridCol w:w="152"/>
        <w:gridCol w:w="973"/>
        <w:gridCol w:w="191"/>
      </w:tblGrid>
      <w:tr>
        <w:trPr/>
        <w:tc>
          <w:tcPr>
            <w:tcW w:w="48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under pre-funded warrants</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552,309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under purchase warrants</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7,394,363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under Ginkgo pre-funded warrants</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to purchase common stock</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8,333,010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(8) Equity-based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 2026, the number of shares of common stock available for issuance under the 2025 Equity Incentive Award Plan (the 2025 Plan) was increased by 467,956 shares due to the annual evergreen provision to increase shares available under the 2025 Plan. As of June 30, 2026, there were an aggregate of 1,512,774 shares available for future grant under the 2017 Stock Incentive Plan (the 2017 Plan) and the 2025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equity</w:t>
        <w:noBreakHyphen/>
        <w:t>based compensation expense within the Company’s interim unaudited consolidated statements of operations and comprehensive income for the three and six months ended June 30, 2026 and 2025 (in thousands):</w:t>
      </w:r>
    </w:p>
    <w:p>
      <w:pPr>
        <w:pStyle w:val="TextBody"/>
        <w:bidi w:val="0"/>
        <w:jc w:val="left"/>
        <w:rPr/>
      </w:pPr>
      <w:r>
        <w:rPr/>
        <w:t> </w:t>
      </w:r>
    </w:p>
    <w:tbl>
      <w:tblPr>
        <w:tblW w:w="8798" w:type="dxa"/>
        <w:jc w:val="left"/>
        <w:tblInd w:w="0" w:type="dxa"/>
        <w:tblLayout w:type="fixed"/>
        <w:tblCellMar>
          <w:top w:w="28" w:type="dxa"/>
          <w:left w:w="28" w:type="dxa"/>
          <w:bottom w:w="28" w:type="dxa"/>
          <w:right w:w="28" w:type="dxa"/>
        </w:tblCellMar>
      </w:tblPr>
      <w:tblGrid>
        <w:gridCol w:w="3691"/>
        <w:gridCol w:w="146"/>
        <w:gridCol w:w="340"/>
        <w:gridCol w:w="557"/>
        <w:gridCol w:w="235"/>
        <w:gridCol w:w="235"/>
        <w:gridCol w:w="340"/>
        <w:gridCol w:w="557"/>
        <w:gridCol w:w="146"/>
        <w:gridCol w:w="146"/>
        <w:gridCol w:w="146"/>
        <w:gridCol w:w="310"/>
        <w:gridCol w:w="509"/>
        <w:gridCol w:w="215"/>
        <w:gridCol w:w="215"/>
        <w:gridCol w:w="310"/>
        <w:gridCol w:w="509"/>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 expense acceleration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summarizes equity</w:t>
        <w:noBreakHyphen/>
        <w:t>based compensation expense by type of award for the three and six months ended June 30, 2026 and 2025 (in thousands):</w:t>
      </w:r>
    </w:p>
    <w:p>
      <w:pPr>
        <w:pStyle w:val="TextBody"/>
        <w:bidi w:val="0"/>
        <w:jc w:val="left"/>
        <w:rPr/>
      </w:pPr>
      <w:r>
        <w:rPr/>
        <w:t> </w:t>
      </w:r>
    </w:p>
    <w:tbl>
      <w:tblPr>
        <w:tblW w:w="7132" w:type="dxa"/>
        <w:jc w:val="left"/>
        <w:tblInd w:w="0" w:type="dxa"/>
        <w:tblLayout w:type="fixed"/>
        <w:tblCellMar>
          <w:top w:w="28" w:type="dxa"/>
          <w:left w:w="28" w:type="dxa"/>
          <w:bottom w:w="28" w:type="dxa"/>
          <w:right w:w="28" w:type="dxa"/>
        </w:tblCellMar>
      </w:tblPr>
      <w:tblGrid>
        <w:gridCol w:w="2026"/>
        <w:gridCol w:w="146"/>
        <w:gridCol w:w="385"/>
        <w:gridCol w:w="385"/>
        <w:gridCol w:w="266"/>
        <w:gridCol w:w="266"/>
        <w:gridCol w:w="385"/>
        <w:gridCol w:w="576"/>
        <w:gridCol w:w="146"/>
        <w:gridCol w:w="146"/>
        <w:gridCol w:w="146"/>
        <w:gridCol w:w="324"/>
        <w:gridCol w:w="486"/>
        <w:gridCol w:w="224"/>
        <w:gridCol w:w="224"/>
        <w:gridCol w:w="324"/>
        <w:gridCol w:w="486"/>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the Company did not grant any stock options. As of June 30, 2026, there was $0.01 million of unrecognized share-based compensation related to unvested stock option grants which is expected to be recognized over a weighted average period of 0.60 years. The total unrecognized share-based compensation cost will be adjusted for actual forfeitures as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2026, the Company did not grant any restricted stock awards. As of June 30, 2026, there was approximately $2 thousand of unrecognized share-based compensation related to restricted stock awards granted, which is expected to be recognized over a weighted average period of 0.75 years. The total unrecognized share-based compensation cost will be adjusted for actual forfeitures as they occur.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 full description of the Company’s equity plans, refer to Note 9, </w:t>
      </w:r>
      <w:r>
        <w:rPr>
          <w:rFonts w:ascii="Times New Roman" w:hAnsi="Times New Roman"/>
          <w:i/>
          <w:color w:val="000000"/>
          <w:sz w:val="20"/>
        </w:rPr>
        <w:t>Equity-based Compensation and Equity Incentive Plans</w:t>
      </w:r>
      <w:r>
        <w:rPr>
          <w:rFonts w:ascii="Times New Roman" w:hAnsi="Times New Roman"/>
          <w:color w:val="000000"/>
          <w:sz w:val="20"/>
        </w:rPr>
        <w:t xml:space="preserve"> in the audited financial statements included in the 2025 Annual Report.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Net Income (Loss) per Share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Basic net income (loss) per share is computed by dividing net income by the weighted-average number of shares of common stock outstanding during the period. In computing diluted net income per share, the sum of the weighted-average number of shares of common stock outstanding during the period is used and only when their effect is dilutive, the weighted-average number of potential shares of common stock are included. In June 2019, the Company sold 422,718 shares of common stock and pre-funded warrants to purchase an aggregate of 169,874 shares of common stock at an exercise price of $135 per share, with $134.85 of such exercise price paid at the closing of the offering (see Note 8, </w:t>
      </w:r>
      <w:r>
        <w:rPr>
          <w:rFonts w:ascii="Times New Roman" w:hAnsi="Times New Roman"/>
          <w:i/>
          <w:color w:val="000000"/>
          <w:sz w:val="20"/>
        </w:rPr>
        <w:t>Stockholders' Equity,</w:t>
      </w:r>
      <w:r>
        <w:rPr>
          <w:rFonts w:ascii="Times New Roman" w:hAnsi="Times New Roman"/>
          <w:color w:val="000000"/>
          <w:sz w:val="20"/>
        </w:rPr>
        <w:t xml:space="preserve"> in the audited financial statements included in the 2025 Annual Report). The shares of common stock into which the warrants may be exercised are considered outstanding for the purposes of computing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and diluted EPS for the three and six months ended June 30, 2026 and 2025 were calculated as follows (in thousands, except share and per share data):</w:t>
      </w:r>
    </w:p>
    <w:tbl>
      <w:tblPr>
        <w:tblW w:w="10205" w:type="dxa"/>
        <w:jc w:val="left"/>
        <w:tblInd w:w="0" w:type="dxa"/>
        <w:tblLayout w:type="fixed"/>
        <w:tblCellMar>
          <w:top w:w="28" w:type="dxa"/>
          <w:left w:w="28" w:type="dxa"/>
          <w:bottom w:w="28" w:type="dxa"/>
          <w:right w:w="28" w:type="dxa"/>
        </w:tblCellMar>
      </w:tblPr>
      <w:tblGrid>
        <w:gridCol w:w="3944"/>
        <w:gridCol w:w="146"/>
        <w:gridCol w:w="211"/>
        <w:gridCol w:w="1036"/>
        <w:gridCol w:w="166"/>
        <w:gridCol w:w="146"/>
        <w:gridCol w:w="211"/>
        <w:gridCol w:w="1036"/>
        <w:gridCol w:w="166"/>
        <w:gridCol w:w="146"/>
        <w:gridCol w:w="211"/>
        <w:gridCol w:w="1036"/>
        <w:gridCol w:w="146"/>
        <w:gridCol w:w="146"/>
        <w:gridCol w:w="211"/>
        <w:gridCol w:w="1036"/>
        <w:gridCol w:w="211"/>
      </w:tblGrid>
      <w:tr>
        <w:trPr/>
        <w:tc>
          <w:tcPr>
            <w:tcW w:w="3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12,418,592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12,319,147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12,406,266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12,301,476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12,418,592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12,319,147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12,407,049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12,301,476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potential shares of common stock, presented based on amounts outstanding at each period end, were excluded from the calculation of the diluted net loss per share attributable to common stockholders for the period indicated, because including them would have had an anti-dilutive effect.</w:t>
      </w:r>
    </w:p>
    <w:p>
      <w:pPr>
        <w:pStyle w:val="TextBody"/>
        <w:bidi w:val="0"/>
        <w:spacing w:before="120" w:after="283"/>
        <w:jc w:val="left"/>
        <w:rPr/>
      </w:pPr>
      <w:r>
        <w:rPr/>
        <w:t> </w:t>
      </w:r>
    </w:p>
    <w:tbl>
      <w:tblPr>
        <w:tblW w:w="9512" w:type="dxa"/>
        <w:jc w:val="left"/>
        <w:tblInd w:w="0" w:type="dxa"/>
        <w:tblLayout w:type="fixed"/>
        <w:tblCellMar>
          <w:top w:w="28" w:type="dxa"/>
          <w:left w:w="28" w:type="dxa"/>
          <w:bottom w:w="28" w:type="dxa"/>
          <w:right w:w="28" w:type="dxa"/>
        </w:tblCellMar>
      </w:tblPr>
      <w:tblGrid>
        <w:gridCol w:w="3991"/>
        <w:gridCol w:w="146"/>
        <w:gridCol w:w="146"/>
        <w:gridCol w:w="931"/>
        <w:gridCol w:w="146"/>
        <w:gridCol w:w="146"/>
        <w:gridCol w:w="146"/>
        <w:gridCol w:w="931"/>
        <w:gridCol w:w="146"/>
        <w:gridCol w:w="146"/>
        <w:gridCol w:w="146"/>
        <w:gridCol w:w="931"/>
        <w:gridCol w:w="146"/>
        <w:gridCol w:w="146"/>
        <w:gridCol w:w="146"/>
        <w:gridCol w:w="931"/>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7,394,363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common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7,625,119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7,785,289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7,624,893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7,785,289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Commitments and Contingencies</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 </w:t>
      </w:r>
    </w:p>
    <w:p>
      <w:pPr>
        <w:pStyle w:val="TextBody"/>
        <w:bidi w:val="0"/>
        <w:jc w:val="left"/>
        <w:rPr>
          <w:rFonts w:ascii="Times New Roman" w:hAnsi="Times New Roman"/>
          <w:color w:val="000000"/>
          <w:sz w:val="20"/>
        </w:rPr>
      </w:pPr>
      <w:r>
        <w:rPr>
          <w:rFonts w:ascii="Times New Roman" w:hAnsi="Times New Roman"/>
          <w:color w:val="000000"/>
          <w:sz w:val="20"/>
        </w:rPr>
        <w:t>The Company’s commitments described in the Company’s audited financial statements included in the 2025 Annual Report have had no material changes during the six months ended June 30, 2026.</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did not record an income tax benefit in its interim unaudited consolidated statements of operations and comprehensive income (loss) for the three and six months ended June 30, 2026 and 2025 as it is more likely than not that the Company will not recognize the federal and state deferred tax benefits generated by its losses. The Company has provided a valuation allowance for the full amount of its net deferred tax assets as of June 30, 2026 and December 31, 2025, as management has determined it is more likely than not that any future benefit from deductible temporary differences and net operating loss and tax credit carryforwards would not be realized. The Company did not record any amounts for unrecognized tax benefits as of June 30, 2026 or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4, 2025, the One Big Beautiful Bill Act (the OBBBA) was enacted in the United States. The OBBBA includes significant changes to federal tax law and other regulatory provisions, with certain provisions becoming effective in 2025.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 has considered the enacted tax law changes in its forecasted annual effective tax rate. Adjustments to deferred tax assets and liabilities as a result of the tax law changes do not impact the Company’s deferred tax expense for the six months ended June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segments are defined as components of an enterprise about which separate discrete financial information is available for evaluation by the chief operating decision maker (CODM) or decision-making group, in making decisions on how to allocate resources and assess performance. The principal executive officer (PEO) is the CODM. The Company operates in one operating segment; discovery and development of Synthetic Biotics.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manages and allocates resources to the operations of the Company on a total company basis by assessing the overall level of resources available and how to best deploy these resources across functions and research and development projects that are in line with long-term company-wide strategic goals. In making these decisions, the PEO uses consolidated financial information for purposes of evaluating performance, forecasting future period financial results, allocating resources and setting incentive targets. The CODM performs this assessment based on the Company's consolidated net income (loss) that is reported on the consolidated statements of operations and comprehensive income (loss). Through this analysis, the CODM assesses performance by comparing actual consolidated net income (loss) versus the budget, and then decides how to allocate resources to invest in the Company's research and development programs. The measure of segment assets is reported on the consolidated balance sheets as total assets. In addition, research and development, general and administrative expenses, and restructuring charges are significant segment expenses regularly provided to the PEO with the following categories (in thousands):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w:t>
      </w:r>
    </w:p>
    <w:tbl>
      <w:tblPr>
        <w:tblW w:w="7827" w:type="dxa"/>
        <w:jc w:val="left"/>
        <w:tblInd w:w="0" w:type="dxa"/>
        <w:tblLayout w:type="fixed"/>
        <w:tblCellMar>
          <w:top w:w="28" w:type="dxa"/>
          <w:left w:w="28" w:type="dxa"/>
          <w:bottom w:w="28" w:type="dxa"/>
          <w:right w:w="28" w:type="dxa"/>
        </w:tblCellMar>
      </w:tblPr>
      <w:tblGrid>
        <w:gridCol w:w="2971"/>
        <w:gridCol w:w="328"/>
        <w:gridCol w:w="538"/>
        <w:gridCol w:w="258"/>
        <w:gridCol w:w="227"/>
        <w:gridCol w:w="328"/>
        <w:gridCol w:w="585"/>
        <w:gridCol w:w="166"/>
        <w:gridCol w:w="146"/>
        <w:gridCol w:w="306"/>
        <w:gridCol w:w="502"/>
        <w:gridCol w:w="241"/>
        <w:gridCol w:w="212"/>
        <w:gridCol w:w="306"/>
        <w:gridCol w:w="502"/>
        <w:gridCol w:w="211"/>
      </w:tblGrid>
      <w:tr>
        <w:trPr/>
        <w:tc>
          <w:tcPr>
            <w:tcW w:w="297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Clinical research and external costs</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Facility and all other costs</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Compensation and benefits</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research and development expense</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w:t>
      </w:r>
    </w:p>
    <w:tbl>
      <w:tblPr>
        <w:tblW w:w="7801" w:type="dxa"/>
        <w:jc w:val="left"/>
        <w:tblInd w:w="0" w:type="dxa"/>
        <w:tblLayout w:type="fixed"/>
        <w:tblCellMar>
          <w:top w:w="28" w:type="dxa"/>
          <w:left w:w="28" w:type="dxa"/>
          <w:bottom w:w="28" w:type="dxa"/>
          <w:right w:w="28" w:type="dxa"/>
        </w:tblCellMar>
      </w:tblPr>
      <w:tblGrid>
        <w:gridCol w:w="2986"/>
        <w:gridCol w:w="307"/>
        <w:gridCol w:w="613"/>
        <w:gridCol w:w="212"/>
        <w:gridCol w:w="212"/>
        <w:gridCol w:w="307"/>
        <w:gridCol w:w="613"/>
        <w:gridCol w:w="146"/>
        <w:gridCol w:w="146"/>
        <w:gridCol w:w="235"/>
        <w:gridCol w:w="637"/>
        <w:gridCol w:w="162"/>
        <w:gridCol w:w="162"/>
        <w:gridCol w:w="235"/>
        <w:gridCol w:w="637"/>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Consulting and professional services</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Compensation and benefits</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Facility and all other costs</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general and administrative expense</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Restructuring Charges</w:t>
      </w:r>
    </w:p>
    <w:tbl>
      <w:tblPr>
        <w:tblW w:w="7584" w:type="dxa"/>
        <w:jc w:val="left"/>
        <w:tblInd w:w="0" w:type="dxa"/>
        <w:tblLayout w:type="fixed"/>
        <w:tblCellMar>
          <w:top w:w="28" w:type="dxa"/>
          <w:left w:w="28" w:type="dxa"/>
          <w:bottom w:w="28" w:type="dxa"/>
          <w:right w:w="28" w:type="dxa"/>
        </w:tblCellMar>
      </w:tblPr>
      <w:tblGrid>
        <w:gridCol w:w="2731"/>
        <w:gridCol w:w="316"/>
        <w:gridCol w:w="631"/>
        <w:gridCol w:w="218"/>
        <w:gridCol w:w="218"/>
        <w:gridCol w:w="316"/>
        <w:gridCol w:w="563"/>
        <w:gridCol w:w="166"/>
        <w:gridCol w:w="146"/>
        <w:gridCol w:w="280"/>
        <w:gridCol w:w="560"/>
        <w:gridCol w:w="194"/>
        <w:gridCol w:w="194"/>
        <w:gridCol w:w="280"/>
        <w:gridCol w:w="560"/>
        <w:gridCol w:w="211"/>
      </w:tblGrid>
      <w:tr>
        <w:trPr/>
        <w:tc>
          <w:tcPr>
            <w:tcW w:w="27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Facility and all other costs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Compensation and benefits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Consulting and professional services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Clinical research and external costs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restructuring charges</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Subsequent Events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Merger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28, 2026, the Company entered into an Agreement and Plan of Merger (the Merger Agreement) by and among the Company, Caldera, Parent, Yellowstone Merger Sub, Inc., a Delaware corporation and a direct, wholly owned subsidiary of Parent (Caldera Merger Sub), and Sonic Merger Sub, Inc., a Delaware corporation and a direct, wholly owned subsidiary of Parent (Synlogic Merger Sub).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Merger Agreement, and upon the terms and subject to the satisfaction of the conditions described therein, Synlogic will be merged with and into Synlogic Merger Sub, with Synlogic surviving as a wholly owned subsidiary of Parent, and Caldera will be merged with and into Caldera Merger Sub, with Caldera surviving as a wholly owned subsidiary of Parent (together, the Caldera Mergers). The Caldera Mergers are intended to qualify as a tax-free reorganization for U.S. federal income tax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Concurrently with entering into the Merger Agreement, Caldera entered into a securities purchase agreement (the Securities Purchase Agreement) with certain qualified institutional buyers and/or accredited investors (the Investors). Pursuant to the Securities Purchase Agreement, and subject to the terms and conditions therein, Caldera agreed to sell, and the Investors agreed to purchase, an aggregate of approximately $278.0 million worth of shares of Caldera Common Stock (the Concurrent Financing). The closing of the Concurrent Financing is anticipated to occur on or about the date of the closing of the Caldera Mergers, subject to the satisfaction of customary closing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Assuming that the Caldera Mergers close, on a pro forma basis, pre-merger equityholders of the Company are expected to own approximately 2.3% of the combined company, pre-merger equityholders of Caldera are expected to own approximately 62.8% of the combined company, and the Investors are expected to own approximately 34.9% (assuming proceeds from the financing of $278.0 million), in each case, calculated on a fully diluted basis, using the treasury stock method, and subject to certain assumptions, including (i) a valuation for the Company of $18.0 million, assuming the Company has net cash of $6.0 million as of the closing of the Caldera Mergers, (ii) a valuation for Caldera of $500.0 million, and (iii) the relative capitalization of the Company and Caldera. The percentage of the combined company that each party’s equity holders will own following the Closing is subject to certain adjustments as described in the Merger Agreement, including the amount of the Final Synlogic Net Cash at Closing (as defined in the Merger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Caldera Mergers, Parent will prepare and file a registration statement on Form S-4, which will contain a prospectus to register the shares of Parent Common Stock issued pursuant to the Merger Agreement (the Form S-4). Promptly after the Form S-4 is declared effective, the Company shall hold a stockholder meeting to seek the vote of the Company’s stockholders of, among other matters, the approval of the Merger Agreement and the transactions contemplated therein. The Caldera Mergers will close after approval by the stockholders of the Company and Caldera, the S-4 becomes effective, and certain other conditions, as specified in the Merger Agreement, are satisfied.</w:t>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Warrant Agreements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October 2023, in an underwritten public offering, Synlogic issued to certain purchasers (the </w:t>
      </w:r>
      <w:r>
        <w:rPr>
          <w:rFonts w:ascii="Times New Roman" w:hAnsi="Times New Roman"/>
          <w:i/>
          <w:color w:val="000000"/>
          <w:sz w:val="20"/>
        </w:rPr>
        <w:t>Holders</w:t>
      </w:r>
      <w:r>
        <w:rPr>
          <w:rFonts w:ascii="Times New Roman" w:hAnsi="Times New Roman"/>
          <w:color w:val="000000"/>
          <w:sz w:val="20"/>
        </w:rPr>
        <w:t xml:space="preserve">) common warrants (the </w:t>
      </w:r>
      <w:r>
        <w:rPr>
          <w:rFonts w:ascii="Times New Roman" w:hAnsi="Times New Roman"/>
          <w:i/>
          <w:color w:val="000000"/>
          <w:sz w:val="20"/>
        </w:rPr>
        <w:t>Warrants</w:t>
      </w:r>
      <w:r>
        <w:rPr>
          <w:rFonts w:ascii="Times New Roman" w:hAnsi="Times New Roman"/>
          <w:color w:val="000000"/>
          <w:sz w:val="20"/>
        </w:rPr>
        <w:t xml:space="preserve">) to purchase up to an aggregate of 7,394,363 shares of Synlogic Common Stock (the </w:t>
      </w:r>
      <w:r>
        <w:rPr>
          <w:rFonts w:ascii="Times New Roman" w:hAnsi="Times New Roman"/>
          <w:i/>
          <w:color w:val="000000"/>
          <w:sz w:val="20"/>
        </w:rPr>
        <w:t>Warrant Shares</w:t>
      </w:r>
      <w:r>
        <w:rPr>
          <w:rFonts w:ascii="Times New Roman" w:hAnsi="Times New Roman"/>
          <w:color w:val="000000"/>
          <w:sz w:val="20"/>
        </w:rPr>
        <w:t xml:space="preserve">) exercisable at $3.408 per share, subject to adjustment (the </w:t>
      </w:r>
      <w:r>
        <w:rPr>
          <w:rFonts w:ascii="Times New Roman" w:hAnsi="Times New Roman"/>
          <w:i/>
          <w:color w:val="000000"/>
          <w:sz w:val="20"/>
        </w:rPr>
        <w:t>Exercise Price</w:t>
      </w:r>
      <w:r>
        <w:rPr>
          <w:rFonts w:ascii="Times New Roman" w:hAnsi="Times New Roman"/>
          <w:color w:val="000000"/>
          <w:sz w:val="20"/>
        </w:rPr>
        <w:t xml:space="preserve">). On July 27, 2026, Synlogic entered into warrant amending agreements (collectively, the </w:t>
      </w:r>
      <w:r>
        <w:rPr>
          <w:rFonts w:ascii="Times New Roman" w:hAnsi="Times New Roman"/>
          <w:i/>
          <w:color w:val="000000"/>
          <w:sz w:val="20"/>
        </w:rPr>
        <w:t>Warrant Amending Agreements</w:t>
      </w:r>
      <w:r>
        <w:rPr>
          <w:rFonts w:ascii="Times New Roman" w:hAnsi="Times New Roman"/>
          <w:color w:val="000000"/>
          <w:sz w:val="20"/>
        </w:rPr>
        <w:t>) with all the Holders that (i) reduced the Exercise Price of the Warrants to $0.70 per Warrant Share and (ii) removed the Holders’ right to require Synlogic or a successor entity to redeem the Warrants for cash in an amount equal to the Black-Scholes value of the unexercised portion thereof, concurrently with or within 30 days following the consummation of a fundamental transaction.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7" w:name="item_2_managements_discussion_analysis_f"/>
      <w:bookmarkEnd w:id="7"/>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Forward-Looking Information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interim financial statements and this Management’s Discussion and Analysis of Financial Condition and Results of Operations should be read together with our audited financial statements and accompanying notes for the years ended December 31, 2025 and 2024 included in our 2025 Annual Report. In addition to historical information, this discussion and analysis contains forward-looking statements within the meaning of Section 27A of the Securities Act of 1933, as amended, and Section 21E of the Securities Exchange Act of 1934, as amended (the Exchange Act). Please see “Risk Factors” beginning on page 20 of this Quarterly Report on Form 10-Q for a discussion of certain risk factors applicable to our business, financial condition, and results of operations. Operating results are not necessarily indicative of results that may occur for the full fiscal year or any other future period. Unless otherwise indicated, references to the terms the “combined company,” “Synlogic,” the “Company,” “we,” “our” and “us” refer to Synlogic, Inc. (formerly known as Mirna Therapeutics, Inc.)</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biopharmaceutical company that previously advanced novel therapeutics to transform the care of serious diseases. We focused on rare metabolic disorders, with our lead program, labafenogene marselecobac (SYNB1934), studied in Synpheny-3, a global, pivotal Phase 3 study for patients with phenylketonuria (PKU), and SYNB1353, a potential treatment for homocystinuria (HCU). Both PKU and HCU are caused by inborn errors of metabolism, and present significant need for innovation due to limitations of both efficacy and safety in the currently available medical treatment options. In February 2024, we made the decision to discontinue Synpheny-3, our pivotal study of our lead product candidate, labafenogene marselecobac (SYNB1934), as a potential treatment for PKU. The decision to end Synpheny-3 is based on results of an internal review in advance of an upcoming independent Data Monitoring Committee (DMC) assessment, which indicated the trial was unlikely to meet its primary endpoint. The decision was not based on concerns regarding safety or tolerability.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28, 2026, we entered into the Merger Agreement with Caldera and certain newly formed subsidiaries of the Parent. Pursuant to the Merger Agreement, and upon the terms and subject to the satisfaction or waiver of the conditions described therein, we will be merged with and into a merger subsidiary of Parent, with Synlogic surviving as a wholly owned subsidiary of Parent, and Caldera will be merged with and into a separate merger subsidiary of Parent, with Caldera surviving as a wholly owned subsidiary of Parent. Upon completion of the transaction, the combined company is expected to operate under the name Caldera Therapeutics, Inc. and focus primarily on advancing Caldera’s development of CLD-423, a potential first-in-class bispecific antibody targeting the clinically validated IL-23p19 and TL1A pathways for the treatment of IBD and other immune-mediated diseases. Closing of the Caldera Mergers is subject to certain closing conditions, including, among others, approval by the stockholders of each company, the effectiveness of a registration statement filed with the SEC to register the securities to be issued in connection with the Caldera Mergers and the satisfaction of other customary closing conditions. The percentage of the combined company that pre-closing Synlogic security holders will own as of the closing of the Caldera Mergers are subject to adjustment based on the valuation of Synlogic immediately prior to the closing. For more information, please refer to the Company’s Current Report on Form 8-K filed with the SEC on July 29, 2026.</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Nasdaq Delisting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November 21, 2025, we received the Notice from the Staff of Nasdaq that stated the Staff’s belief that we were a “public shell” and that, therefore, the continued listing of our securities was no longer warranted in the view of the Staff. On January 16, 2026, we received notice from Nasdaq that our shares would be suspended at the open of business on January 21, 2026. The delisting became effective on January 21, 2026. The Company’s common stock is traded on the OTCID Basic Market, under the symbol “SYBX.”</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Following the suspension of trading of our shares of common stock on Nasdaq and delisting of our shares of common stock from Nasdaq, we believe that we are a “public shell” under the Nasdaq rules. Our shares of common stock have been quoted on the OTCID Basic Market since January 21, 2026. As a shell company, our operating expenses have consisted primarily of, and we expect them to continue to consist primarily of, customary public company expenses, including personnel, accounting, financial reporting, legal, audit and other related public company costs.</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Effects of Inflation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believe that inflation has had a material impact on our business or operating results during the periods presented. However, inflationary costs could adversely affect our business, financial condition and results of operations. Increased inflation has had, and may continue to have, an effect on interest rates. Increased interest rates may adversely affect our borrowing rate and our ability to obtain, or the terms under which we can obtain, any potential additional funding.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Overview</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 consists of expenses incurred in connection with the discovery and development of our product candidates, which are expensed as they are incurred.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General and Administrative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compensation, benefits and other employee-related expenses. Other general and administrative costs include the legal costs of pursuing patent protection of our intellectual property, information technology infrastructure costs, directors’ and officers’ insurance, and professional fees for accounting, tax, legal and consulting services. We anticipate that our general and administrative expenses may increase in the future as we explore strategic alternatives, including potential legal, accounting and advisory expenses and other related charges. We also anticipate that we will continue to incur accounting, legal, regulatory, compliance and directors' and officers' insurance costs as well as investor and public relations expenses associated with being a public company.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Restructuring and Other Charges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February 2024, we made the decision to discontinue Synpheny-3, our pivotal study of our lead product candidate, labafenogene marselecobac (SYNB1934), as a potential treatment for PKU. As a result, we started to undertake certain operational and organizational steps in connection with a strategic reorganization plan and related cost-saving measures. We initiated a plan to review strategic alternatives in which we substantially reduced our operations and reduced the workforce, leaving one remaining full-time employee. In addition, the Company has engaged consultants to, among other things, support the strategic review process and current business operations.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and investment income consists of income earned on investments. Other income (expense) consists primarily of gains and losses on foreign currency invoices and gains and losses on remeasurement of the purchase warrant liability.</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discussion and analysis of our financial condition and results of operations is based upon our interim unaudited consolidated financial statements prepared in accordance with generally accepted accounting principles in the U.S. (GAAP). The preparation of these financial statements requires us to make certain estimates and assumptions that affect the reported amounts of assets and liabilities, the reported amounts of revenues and expenses during the reported periods and related disclosures.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critical accounting policies are described in our 2025 Annual Report. During the six months ended June 30, 2026, there were no new or material changes to our existing critical accounting policies. We believe that these identified policies are critical to fully understanding and evaluating our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estimates and assumptions, including those related to warrants, are monitored and analyzed by us for changes in facts and circumstances, and material changes in these estimates could occur in the future. The judgment regarding the inputs used to value liability-classified warrants using the Black-Scholes option pricing model involves a greater degree of judgment, and therefore we consider warrants to be our critical accounting policy. We evaluate our estimates and assumptions on an ongoing basis. Actual results may differ from our estimates under different assumptions or conditions. We believe that this identified policy is critical to fully understanding and evaluating our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discussion summarizes the key factors our management believes are necessary for an understanding of our consolidated financial results.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Three Months Ended June 30, 2026 Compared to Three Months Ended June 30, 2025</w:t>
      </w:r>
    </w:p>
    <w:p>
      <w:pPr>
        <w:pStyle w:val="TextBody"/>
        <w:bidi w:val="0"/>
        <w:spacing w:before="360" w:after="283"/>
        <w:jc w:val="left"/>
        <w:rPr/>
      </w:pPr>
      <w:r>
        <w:rPr/>
        <w:t> </w:t>
      </w:r>
    </w:p>
    <w:tbl>
      <w:tblPr>
        <w:tblW w:w="8028" w:type="dxa"/>
        <w:jc w:val="left"/>
        <w:tblInd w:w="0" w:type="dxa"/>
        <w:tblLayout w:type="fixed"/>
        <w:tblCellMar>
          <w:top w:w="28" w:type="dxa"/>
          <w:left w:w="28" w:type="dxa"/>
          <w:bottom w:w="28" w:type="dxa"/>
          <w:right w:w="28" w:type="dxa"/>
        </w:tblCellMar>
      </w:tblPr>
      <w:tblGrid>
        <w:gridCol w:w="4296"/>
        <w:gridCol w:w="281"/>
        <w:gridCol w:w="844"/>
        <w:gridCol w:w="213"/>
        <w:gridCol w:w="342"/>
        <w:gridCol w:w="783"/>
        <w:gridCol w:w="166"/>
        <w:gridCol w:w="211"/>
        <w:gridCol w:w="481"/>
        <w:gridCol w:w="411"/>
      </w:tblGrid>
      <w:tr>
        <w:trPr/>
        <w:tc>
          <w:tcPr>
            <w:tcW w:w="429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other charges</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investment income</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purchase warrant liability</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 was $0.01 million for the three months ended June 30, 2026 compared to a gain of $0.01 million in the corresponding period in 2025, a change of $0.02 million. The increase was due to additional storage costs for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 was $0.8 million for the three months ended June 30, 2026 and for the three months ended June 30,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Restructuring and Other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the Company and its board of directors decided to discontinue the Synpheny-3 trial and to conduct a comprehensive review of strategic alternatives. We also announced a corporate restructuring that resulted in a reduction in our workforce, leaving one remaining full-time employee. In addition, we have engaged consultants to, among other things, support the strategic review process and current business operations. We recorded restructuring and other charges of $0.2 million for the three months ended June 30, 2026, compared to a gain on restructuring of $0.01 million for the corresponding period in 2025. The increase was primarily due to increased legal and professional fees as we explore strategic alternatives.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was $0.5 million for the three months ended June 30, 2026, compared to $0.3 million for the corresponding period in 2025. The increase in other income of $0.2 million was primarily related to the change in fair value of the purchase warrants classified as liabilities on the interim unaudited consolidated balance sheet.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Six Months Ended June 30, 2026 Compared to Six Months Ended June 30, 2025</w:t>
      </w:r>
    </w:p>
    <w:p>
      <w:pPr>
        <w:pStyle w:val="TextBody"/>
        <w:bidi w:val="0"/>
        <w:spacing w:before="360" w:after="283"/>
        <w:jc w:val="left"/>
        <w:rPr/>
      </w:pPr>
      <w:r>
        <w:rPr/>
        <w:t> </w:t>
      </w:r>
    </w:p>
    <w:tbl>
      <w:tblPr>
        <w:tblW w:w="8084" w:type="dxa"/>
        <w:jc w:val="left"/>
        <w:tblInd w:w="0" w:type="dxa"/>
        <w:tblLayout w:type="fixed"/>
        <w:tblCellMar>
          <w:top w:w="28" w:type="dxa"/>
          <w:left w:w="28" w:type="dxa"/>
          <w:bottom w:w="28" w:type="dxa"/>
          <w:right w:w="28" w:type="dxa"/>
        </w:tblCellMar>
      </w:tblPr>
      <w:tblGrid>
        <w:gridCol w:w="4296"/>
        <w:gridCol w:w="281"/>
        <w:gridCol w:w="844"/>
        <w:gridCol w:w="179"/>
        <w:gridCol w:w="281"/>
        <w:gridCol w:w="844"/>
        <w:gridCol w:w="166"/>
        <w:gridCol w:w="211"/>
        <w:gridCol w:w="571"/>
        <w:gridCol w:w="411"/>
      </w:tblGrid>
      <w:tr>
        <w:trPr/>
        <w:tc>
          <w:tcPr>
            <w:tcW w:w="429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other charges</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investment income</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purchase warrant liability</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 was $0.06 million for the six months ended June 30, 2026 compared to $0.01 million in the corresponding period in 2025, a change of $0.05 million.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 was $1.9 million for the six months ended June 30, 2026, compared to $1.6 million for the corresponding period in 2025. The increase was primarily due to increased professional services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Restructuring and Other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the Company and its board of directors decided to discontinue the Synpheny-3 trial and to conduct a comprehensive review of strategic alternatives. We also announced a corporate restructuring that resulted in a reduction in our workforce, leaving one remaining full-time employee. In addition, we have engaged consultants to, among other things, support the strategic review process and current business operations. We recorded restructuring and other charges of $0.4 million for the six months ended June 30, 2026, compared to $0.03 million for the corresponding period in 2025. The increase was primarily due to increased legal and professional fees as we explore strategic alternatives.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was $2.5 million for the six months ended June 30, 2026, compared to $1.5 million for the corresponding period in 2025. The increase in other income of $1.0 million was primarily related to the change in fair value of the purchase warrants classified as liabilities on the interim unaudited consolidated balance sheet.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incurred losses since our inception on March 14, 2014 and as of June 30, 2026, we had an accumulated deficit of $442.5 million. We have financed our operations to date primarily through the sale of preferred stock, common stock, preferred units and warrants, payments received under prior collaboration agreements, interest earned on investments, and cash received in our business combination consummated in August 2017 pursuant to which Synlogic, Inc., formerly known as Mirna Therapeutics, Inc. (Mirna), completed a business combination with Synlogic, a private company, survived as a wholly owned subsidiary of Mirna, which changed its name to “Synlogic, Inc.” (NASDAQ: SYBX). At June 30, 2026, we had $13.2 million in cash and cash equivalents. Our cash and cash equivalents include amounts held in money market funds, stated at cost plus unrealized gains and losses, which approximates fair market value. We invest cash in excess of immediate requirements in accordance with our investment policy, which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limits the amounts we may invest in any one type of investment and requires all investments held by us to maintain minimum ratings from Nationally Recognized Statistical Rating Organizations so as to primarily achieve liquidity and capital preservation.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our cash, cash equivalents and marketable securities balance decreased by $1.5 million. This decrease was primarily due to the cash used to operate our business. In the six months ended June 30, 2026, we recorded restructuring charges in connection with the restructuring.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major sources and uses of cash, cash equivalents and restricted cash for each of the periods below:</w:t>
      </w:r>
    </w:p>
    <w:p>
      <w:pPr>
        <w:pStyle w:val="TextBody"/>
        <w:bidi w:val="0"/>
        <w:spacing w:before="240" w:after="283"/>
        <w:jc w:val="left"/>
        <w:rPr/>
      </w:pPr>
      <w:r>
        <w:rPr/>
        <w:t> </w:t>
      </w:r>
    </w:p>
    <w:tbl>
      <w:tblPr>
        <w:tblW w:w="8105" w:type="dxa"/>
        <w:jc w:val="left"/>
        <w:tblInd w:w="0" w:type="dxa"/>
        <w:tblLayout w:type="fixed"/>
        <w:tblCellMar>
          <w:top w:w="28" w:type="dxa"/>
          <w:left w:w="28" w:type="dxa"/>
          <w:bottom w:w="28" w:type="dxa"/>
          <w:right w:w="28" w:type="dxa"/>
        </w:tblCellMar>
      </w:tblPr>
      <w:tblGrid>
        <w:gridCol w:w="5581"/>
        <w:gridCol w:w="146"/>
        <w:gridCol w:w="218"/>
        <w:gridCol w:w="654"/>
        <w:gridCol w:w="172"/>
        <w:gridCol w:w="151"/>
        <w:gridCol w:w="218"/>
        <w:gridCol w:w="654"/>
        <w:gridCol w:w="311"/>
      </w:tblGrid>
      <w:tr>
        <w:trPr/>
        <w:tc>
          <w:tcPr>
            <w:tcW w:w="5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Cash Flows from Operating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cash equivalents and restricted cash used in operating activities was $1.5 million for the six months ended June 30, 2026. The primary source of cash was our net income of $0.1 million, changes in our assets and liabilities of $0.6 million, offset by $2.2 million non-cash items primarily including the change in fair value of purchase warrants and equity-based compensation. The changes in our assets and liabilities include decreases in prepaid expenses and other current assets and increases in accounts payable and accrued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cash equivalents and restricted cash used in operating activities was $2.0 million for the six months ended June 30, 2025. The primary use of cash was our net loss of $0.2 million, changes in our assets and liabilities of $0.7 million, and $1.1 million non-cash items primarily including the change in fair value of purchase warrants, equity-based compensation and gain on disposal of property and equipment. The changes in our assets and liabilities include decreases in prepaid expenses and other current assets and accounts payable and accrued expenses.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cash used in or provided by investing activities for the six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six months ended June 30, 2025 was $0.2 million and resulted from the proceeds from sales of property and equipment.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cash used in or provided by financing activities for the six months ended June 30, 2026 and for the six months ended June 30, 2025.</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expect our expenses to remain roughly the same in the near term following our decision to discontinue our Synpheny-3 clinical trial while we explore strategic alternatives. Pending the outcome of our review of strategic alternatives, we expect to incur additional costs in connection with such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generated revenue from our prior collaborations, but have not generated any product revenue since our inception and do not expect to generate any product revenue. We believe that our current cash and cash equivalents as of June 30, 2026 will be sufficient to fund our operations at the current levels for at least the next 12 months from the date of this filing.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funding requirements will depend on many factors,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success, timing and cost of any strategic transactions, business combinations or divestiture;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filing, prosecuting, defending and enforcing any patent claims and other intellectual property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any additional collaborative, licensing or other arrangements that we may establish;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acquisition of businesses, products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infrastructure and internal systems;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risks and uncertainties, including those listed under the heading “Risk Factors” in our 2025 Annual Report.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Commitments and Obligations</w:t>
      </w:r>
    </w:p>
    <w:p>
      <w:pPr>
        <w:pStyle w:val="TextBody"/>
        <w:bidi w:val="0"/>
        <w:spacing w:before="120" w:after="283"/>
        <w:jc w:val="left"/>
        <w:rPr>
          <w:rFonts w:ascii="Times New Roman" w:hAnsi="Times New Roman"/>
          <w:sz w:val="20"/>
        </w:rPr>
      </w:pPr>
      <w:r>
        <w:rPr>
          <w:rFonts w:ascii="Times New Roman" w:hAnsi="Times New Roman"/>
          <w:color w:val="000000"/>
          <w:sz w:val="20"/>
        </w:rPr>
        <w:t>Other than as described below, there have been no material changes to our contractual obligations and commitments set forth under the heading “</w:t>
      </w:r>
      <w:r>
        <w:rPr>
          <w:rFonts w:ascii="Times New Roman" w:hAnsi="Times New Roman"/>
          <w:i/>
          <w:color w:val="000000"/>
          <w:sz w:val="20"/>
        </w:rPr>
        <w:t>Management’s Discussion and Analysis of Financial Condition and Results of Operations-Contractual Obligations and Commitments”</w:t>
      </w:r>
      <w:r>
        <w:rPr>
          <w:rFonts w:ascii="Times New Roman" w:hAnsi="Times New Roman"/>
          <w:color w:val="000000"/>
          <w:sz w:val="20"/>
        </w:rPr>
        <w:t xml:space="preserve"> in our 2025 Annual Report. </w:t>
      </w:r>
    </w:p>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Agreement and Plan of Merger with Caldera Therapeutics,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28, 2026, the Company entered into the Merger Agreement with Caldera and certain newly formed subsidiaries of the Company. Pursuant to the Merger Agreement, and upon the terms and subject to the satisfaction or waiver of the conditions described therein, Synlogic will be merged with and into a merger subsidiary of Parent, with Synlogic surviving as a wholly owned subsidiary of Parent, and Caldera will be merged with and into a separate merger subsidiary of Parent, with Caldera surviving as a wholly owned subsidiary of Parent. The Merger Agreement includes customary representations, warranties and covenants by the parties and provides for customary closing conditions, including the effectiveness of a registration statement on Form S-4 and approval by the stockholders of both companies. The Merger Agreement also provides for certain termination rights for each of Synlogic and Caldera and, in specified circumstances, may require the payment of a termination fee.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completion of the transaction, the combined company is expected to operate under the name Caldera Therapeutics, Inc. and focus primarily on advancing Caldera’s development of CLD-423, a potential first-in-class bispecific antibody targeting the clinically validated IL-23p19 and TL1A pathways for the treatment of IBD and other immune-mediated diseases. Closing of the Caldera Mergers is subject to certain closing conditions, including, among others, approval by the stockholders of each company, the effectiveness of a registration statement filed with the SEC to register the securities to be issued in connection with the Caldera Mergers and the satisfaction of other customary closing conditions. The percentage of the combined company that pre-closing Synlogic security holders will own as of the closing of the Caldera Mergers are subject to adjustment based on the valuation of Synlogic immediately prior to the closing. For more information, please refer to the Company’s Current Report on Form 8-K filed with the SEC on July 29,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2023, in an underwritten public offering, Synlogic issued to the Holders the Warrants to purchase up to an aggregate of 7,394,363 Warrant Shares exercisable at the Exercise Price of $3.408 per share, subject to adjustment. On July 27, 2026, Synlogic entered into the Warrant Amending Agreements with all the Holders that (i) reduced the Exercise Price of the Warrants to $0.70 per Warrant Share and (ii) removed the Holders’ right to require Synlogic or a successor entity to redeem the Warrants for cash in an amount equal to the Black-Scholes value of the unexercised portion thereof, concurrently with or within 30 days following the consummation of a fundamental transaction. For more information, please refer to the Company’s Current Report on Form 8-K filed with the SEC on July 29, 2026.</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120" w:after="283"/>
        <w:jc w:val="left"/>
        <w:rPr>
          <w:rFonts w:ascii="Times New Roman" w:hAnsi="Times New Roman"/>
          <w:sz w:val="20"/>
        </w:rPr>
      </w:pPr>
      <w:r>
        <w:rPr>
          <w:rFonts w:ascii="Times New Roman" w:hAnsi="Times New Roman"/>
          <w:color w:val="000000"/>
          <w:sz w:val="20"/>
        </w:rPr>
        <w:t>For a description of transactions with related parties which may fall outside of the reporting period of this section, please see the section entitled “</w:t>
      </w:r>
      <w:r>
        <w:rPr>
          <w:rFonts w:ascii="Times New Roman" w:hAnsi="Times New Roman"/>
          <w:i/>
          <w:color w:val="000000"/>
          <w:sz w:val="20"/>
        </w:rPr>
        <w:t>Certain Relationships and Related Person Transactions”</w:t>
      </w:r>
      <w:r>
        <w:rPr>
          <w:rFonts w:ascii="Times New Roman" w:hAnsi="Times New Roman"/>
          <w:color w:val="000000"/>
          <w:sz w:val="20"/>
        </w:rPr>
        <w:t xml:space="preserve"> in Amendment No. 1 to our 2025 Annual Report on Form 10-K/A filed with the SEC on April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For detailed information regarding recently issued accounting pronouncements and the expected impact on our interim unaudited consolidated financial statements, see Note 2, </w:t>
      </w:r>
      <w:r>
        <w:rPr>
          <w:rFonts w:ascii="Times New Roman" w:hAnsi="Times New Roman"/>
          <w:i/>
          <w:color w:val="000000"/>
          <w:sz w:val="20"/>
        </w:rPr>
        <w:t>Summary of</w:t>
      </w:r>
      <w:r>
        <w:rPr>
          <w:rFonts w:ascii="Times New Roman" w:hAnsi="Times New Roman"/>
          <w:color w:val="000000"/>
          <w:sz w:val="20"/>
        </w:rPr>
        <w:t xml:space="preserve"> </w:t>
      </w:r>
      <w:r>
        <w:rPr>
          <w:rFonts w:ascii="Times New Roman" w:hAnsi="Times New Roman"/>
          <w:i/>
          <w:color w:val="000000"/>
          <w:sz w:val="20"/>
        </w:rPr>
        <w:t>Significant Accounting Policies</w:t>
      </w:r>
      <w:r>
        <w:rPr>
          <w:rFonts w:ascii="Times New Roman" w:hAnsi="Times New Roman"/>
          <w:color w:val="000000"/>
          <w:sz w:val="20"/>
        </w:rPr>
        <w:t xml:space="preserve"> in the notes to the interim unaudited consolidated financial statements appearing elsewhere in this Quarterly Report on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8" w:name="item3quantitativeandqualitativedis"/>
      <w:bookmarkEnd w:id="8"/>
      <w:r>
        <w:rPr>
          <w:rFonts w:ascii="Times New Roman" w:hAnsi="Times New Roman"/>
          <w:b/>
          <w:color w:val="000000"/>
          <w:sz w:val="20"/>
        </w:rPr>
        <w:t>Item 3. Quantitative and Qualitative</w:t>
      </w:r>
      <w:r>
        <w:rPr>
          <w:rFonts w:ascii="Times New Roman" w:hAnsi="Times New Roman"/>
          <w:color w:val="000000"/>
          <w:sz w:val="20"/>
        </w:rPr>
        <w:t xml:space="preserve"> </w:t>
      </w:r>
      <w:r>
        <w:rPr>
          <w:rFonts w:ascii="Times New Roman" w:hAnsi="Times New Roman"/>
          <w:b/>
          <w:color w:val="000000"/>
          <w:sz w:val="20"/>
        </w:rPr>
        <w:t>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smaller reporting company as defined by Rule 12b-2 of the Exchange Act and are not required to provide this information required under this item. </w:t>
      </w:r>
    </w:p>
    <w:p>
      <w:pPr>
        <w:pStyle w:val="TextBody"/>
        <w:bidi w:val="0"/>
        <w:spacing w:before="360" w:after="283"/>
        <w:jc w:val="left"/>
        <w:rPr>
          <w:rFonts w:ascii="Times New Roman" w:hAnsi="Times New Roman"/>
          <w:sz w:val="20"/>
        </w:rPr>
      </w:pPr>
      <w:bookmarkStart w:id="9" w:name="item4controlsandprocedures"/>
      <w:bookmarkEnd w:id="9"/>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Definition and limitations of disclosure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disclosure controls and procedures (as defined in Rules 13a-15(e) and 15d-15(e) under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Executive Officer and Principal Financial Officer evaluated the effectiveness of our disclosure controls and procedures (as defined in Exchange Act Rules 13a-15(e) and 15d-15(e)) as of the end of the period covered by this Form 10-Q. Based on that evaluation, it was determined that due to the material weakness described below, our disclosure controls and procedures were not effective at ensuring that information required to be disclosed by us in the reports that we file or submit under the Exchange Act is recorded, processed, summarized and reported, within the time periods specified in the SEC’s rules and forms. Additionally, our disclosure controls and procedures were not effective at ensuring that such information is accumulated and communicated to our management, including our Principal Executive and Principal Financial Officer, or persons performing similar functions, as appropriate, to allow timely decisions regarding required disclosure.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Weakness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previously disclosed in our annual report on Form 10-K for the fiscal year ended December 31, 2025, management identified a material weakness in our internal control over financial reporting, while preparing our condensed consolidated financial statements for the year ended December 31, 2024. As described in the 2025 Annual Report, management has designed a plan and is prepared to execute remediation actions to address the material weakness; however we have not had an instance of a significant and non-routine transaction in order to test the effectiveness of the remediation actions taken to date. As a result, the material weakness continues to be present as of June 30, 2026. The material weakness cannot be considered remediated until the applicable remedial controls operate for a sufficient period of time and management has concluded, through testing, that these controls are operating effectively.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not been any changes in our internal controls over financial reporting (as defined in Rules 13a-15(f) and 15d-15(f) under the Exchange Act) identified in connection with the evaluation of such internal control that occurred during our fiscal quarter ended June 30, 2026 that have materially affected, or are reasonably likely to materially affect, our internal controls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 II – OTHER INFORMATION</w:t>
      </w:r>
    </w:p>
    <w:p>
      <w:pPr>
        <w:pStyle w:val="TextBody"/>
        <w:bidi w:val="0"/>
        <w:jc w:val="left"/>
        <w:rPr/>
      </w:pPr>
      <w:r>
        <w:rPr/>
        <w:t> </w:t>
      </w:r>
    </w:p>
    <w:p>
      <w:pPr>
        <w:pStyle w:val="TextBody"/>
        <w:bidi w:val="0"/>
        <w:jc w:val="left"/>
        <w:rPr>
          <w:rFonts w:ascii="Times New Roman" w:hAnsi="Times New Roman"/>
          <w:b/>
          <w:color w:val="000000"/>
          <w:sz w:val="20"/>
        </w:rPr>
      </w:pPr>
      <w:bookmarkStart w:id="10" w:name="item_1_legal_proceedings"/>
      <w:bookmarkEnd w:id="10"/>
      <w:r>
        <w:rPr>
          <w:rFonts w:ascii="Times New Roman" w:hAnsi="Times New Roman"/>
          <w:b/>
          <w:color w:val="000000"/>
          <w:sz w:val="20"/>
        </w:rPr>
        <w:t>Item 1.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not currently a party to any material legal proceedings.</w:t>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11" w:name="item_1a_risk_factors"/>
      <w:bookmarkEnd w:id="11"/>
      <w:r>
        <w:rPr>
          <w:rFonts w:ascii="Times New Roman" w:hAnsi="Times New Roman"/>
          <w:b/>
          <w:color w:val="000000"/>
          <w:sz w:val="20"/>
        </w:rPr>
        <w:t>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than as described below, there have been no material changes to the risk factors previously reported in our Annual Report on Form 10-K for the year ended December 31, 2025. The ownership of our common stock involves a number of risks and uncertainties. See the risk factors set forth in our 2025 Annual Report on Form 10-K under the caption “Item 1A—Risk Factors.”</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The Caldera Mergers may not be completed on the currently contemplated terms or within the expected timeframe, or at all, which could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Caldera Mergers are subject to a number of conditions, including the effectiveness of a registration statement on Form S-4 and approval by the stockholders of Synlogic and Caldera. We have incurred, and expect to continue to incur, significant costs in connection with the merger, including legal, accounting, financial advisor, and other professional fees, and these costs may be higher than we currently anticipate. The merger process has also, and may continue to, divert management’s attention and resources from ongoing operations, and could make it more difficult to attract and retain employees, enter into contracts on favorable terms, or maintain relationships with business relations. If the Caldera Mergers are not completed, we may be required to pursue other strategic alternatives, which could include raising additional capital on unfavorable terms, significantly reducing or discontinuing operations, or pursuing a voluntary dissolution. There can be no assurance that any alternative transaction or strategy will be available on acceptable terms, or at all.</w:t>
      </w:r>
    </w:p>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the Caldera Mergers are completed, the combined company may incur losses for the foreseeable future and might never achieve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the Caldera Mergers are completed, the combined company may never become profitable, even if the combined company is able to complete clinical development for one or more product candidates and eventually commercialize such product candidates. The combined company will need to successfully complete significant research, development, testing and regulatory compliance activities that, together with projected general and administrative expenses, are expected to result in substantial increased operating losses for at least the next several years. Even if the combined company does achieve profitability, it may not be able to sustain or increase profitability on a quarterly or annual basis.</w:t>
      </w:r>
    </w:p>
    <w:p>
      <w:pPr>
        <w:pStyle w:val="TextBody"/>
        <w:bidi w:val="0"/>
        <w:jc w:val="left"/>
        <w:rPr/>
      </w:pPr>
      <w:r>
        <w:rPr/>
        <w:t> </w:t>
      </w:r>
    </w:p>
    <w:p>
      <w:pPr>
        <w:pStyle w:val="TextBody"/>
        <w:bidi w:val="0"/>
        <w:jc w:val="left"/>
        <w:rPr/>
      </w:pPr>
      <w:bookmarkStart w:id="12" w:name="eolpage60"/>
      <w:bookmarkEnd w:id="12"/>
      <w:r>
        <w:rPr/>
        <w:t> </w:t>
      </w:r>
    </w:p>
    <w:p>
      <w:pPr>
        <w:pStyle w:val="TextBody"/>
        <w:bidi w:val="0"/>
        <w:spacing w:before="12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3" w:name="item_2_unregistered_sales_equity_securit"/>
      <w:bookmarkEnd w:id="13"/>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4" w:name="item_3_defaults_upon_senior_securities"/>
      <w:bookmarkEnd w:id="14"/>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5" w:name="item_4_mine_safety_disclosures"/>
      <w:bookmarkEnd w:id="15"/>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16" w:name="item_5_or_information"/>
      <w:bookmarkEnd w:id="16"/>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Rule 10b5-1 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quarter ended June 30, 2026, none of our directors or executive officers adopted, modified or terminated any contract, instruction or written plan for the purchase or sale of our securities that was intended to satisfy the affirmative defense conditions of Rule 10b5-1 (c) or any “non-Rule 10b5-1 trading arrangement.”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7" w:name="item_6_exhibits"/>
      <w:bookmarkEnd w:id="17"/>
      <w:r>
        <w:rPr>
          <w:rFonts w:ascii="Times New Roman" w:hAnsi="Times New Roman"/>
          <w:b/>
          <w:color w:val="000000"/>
          <w:sz w:val="20"/>
        </w:rPr>
        <w:t>Item 6. Exhibits.</w:t>
      </w:r>
    </w:p>
    <w:p>
      <w:pPr>
        <w:pStyle w:val="TextBody"/>
        <w:bidi w:val="0"/>
        <w:spacing w:before="200" w:after="283"/>
        <w:jc w:val="center"/>
        <w:rPr>
          <w:rFonts w:ascii="Times New Roman" w:hAnsi="Times New Roman"/>
          <w:sz w:val="20"/>
        </w:rPr>
      </w:pPr>
      <w:bookmarkStart w:id="18" w:name="exhibit_index"/>
      <w:bookmarkEnd w:id="18"/>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3"/>
        <w:gridCol w:w="146"/>
        <w:gridCol w:w="5614"/>
        <w:gridCol w:w="146"/>
        <w:gridCol w:w="659"/>
        <w:gridCol w:w="146"/>
        <w:gridCol w:w="1171"/>
        <w:gridCol w:w="146"/>
        <w:gridCol w:w="526"/>
        <w:gridCol w:w="146"/>
        <w:gridCol w:w="762"/>
      </w:tblGrid>
      <w:tr>
        <w:trPr/>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4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61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5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jc w:val="center"/>
              <w:rPr>
                <w:rFonts w:ascii="Times New Roman" w:hAnsi="Times New Roman"/>
                <w:b/>
                <w:color w:val="000000"/>
                <w:sz w:val="16"/>
              </w:rPr>
            </w:pPr>
            <w:r>
              <w:rPr>
                <w:rFonts w:ascii="Times New Roman" w:hAnsi="Times New Roman"/>
                <w:b/>
                <w:color w:val="000000"/>
                <w:sz w:val="16"/>
              </w:rPr>
              <w:t>with this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Report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w:t>
            </w:r>
          </w:p>
          <w:p>
            <w:pPr>
              <w:pStyle w:val="TableContents"/>
              <w:bidi w:val="0"/>
              <w:jc w:val="center"/>
              <w:rPr>
                <w:rFonts w:ascii="Times New Roman" w:hAnsi="Times New Roman"/>
                <w:b/>
                <w:color w:val="000000"/>
                <w:sz w:val="16"/>
              </w:rPr>
            </w:pPr>
            <w:r>
              <w:rPr>
                <w:rFonts w:ascii="Times New Roman" w:hAnsi="Times New Roman"/>
                <w:b/>
                <w:color w:val="000000"/>
                <w:sz w:val="16"/>
              </w:rPr>
              <w:t>Reference herein</w:t>
            </w:r>
          </w:p>
          <w:p>
            <w:pPr>
              <w:pStyle w:val="TableContents"/>
              <w:bidi w:val="0"/>
              <w:jc w:val="center"/>
              <w:rPr>
                <w:rFonts w:ascii="Times New Roman" w:hAnsi="Times New Roman"/>
                <w:b/>
                <w:color w:val="000000"/>
                <w:sz w:val="16"/>
              </w:rPr>
            </w:pPr>
            <w:r>
              <w:rPr>
                <w:rFonts w:ascii="Times New Roman" w:hAnsi="Times New Roman"/>
                <w:b/>
                <w:color w:val="000000"/>
                <w:sz w:val="16"/>
              </w:rPr>
              <w:t>from Form or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6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SEC</w:t>
            </w:r>
          </w:p>
          <w:p>
            <w:pPr>
              <w:pStyle w:val="TableContents"/>
              <w:bidi w:val="0"/>
              <w:jc w:val="center"/>
              <w:rPr>
                <w:rFonts w:ascii="Times New Roman" w:hAnsi="Times New Roman"/>
                <w:b/>
                <w:color w:val="000000"/>
                <w:sz w:val="16"/>
              </w:rPr>
            </w:pPr>
            <w:r>
              <w:rPr>
                <w:rFonts w:ascii="Times New Roman" w:hAnsi="Times New Roman"/>
                <w:b/>
                <w:color w:val="000000"/>
                <w:sz w:val="16"/>
              </w:rPr>
              <w:t>File/Reg.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4" w:type="dxa"/>
            <w:tcBorders/>
            <w:tcMar>
              <w:top w:w="0" w:type="dxa"/>
              <w:left w:w="0" w:type="dxa"/>
              <w:bottom w:w="0" w:type="dxa"/>
              <w:right w:w="0" w:type="dxa"/>
            </w:tcMar>
            <w:vAlign w:val="center"/>
          </w:tcPr>
          <w:p>
            <w:pPr>
              <w:pStyle w:val="TableContents"/>
              <w:bidi w:val="0"/>
              <w:spacing w:before="0" w:after="283"/>
              <w:jc w:val="left"/>
              <w:rPr/>
            </w:pPr>
            <w:hyperlink w:anchor="sybx-ex31_1.htm">
              <w:r>
                <w:rPr>
                  <w:rStyle w:val="InternetLink"/>
                  <w:rFonts w:ascii="Times New Roman" w:hAnsi="Times New Roman"/>
                  <w:color w:val="0000FF"/>
                  <w:sz w:val="18"/>
                  <w:u w:val="single"/>
                </w:rPr>
                <w:t>Certification of Chief Executive Officer required by Rule 13a-14(a) or Rule 15d-14(a).</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4" w:type="dxa"/>
            <w:tcBorders/>
            <w:tcMar>
              <w:top w:w="0" w:type="dxa"/>
              <w:left w:w="0" w:type="dxa"/>
              <w:bottom w:w="0" w:type="dxa"/>
              <w:right w:w="0" w:type="dxa"/>
            </w:tcMar>
            <w:vAlign w:val="center"/>
          </w:tcPr>
          <w:p>
            <w:pPr>
              <w:pStyle w:val="TableContents"/>
              <w:bidi w:val="0"/>
              <w:spacing w:before="0" w:after="283"/>
              <w:jc w:val="left"/>
              <w:rPr/>
            </w:pPr>
            <w:hyperlink w:anchor="sybx-ex31_2.htm">
              <w:r>
                <w:rPr>
                  <w:rStyle w:val="InternetLink"/>
                  <w:rFonts w:ascii="Times New Roman" w:hAnsi="Times New Roman"/>
                  <w:color w:val="0000FF"/>
                  <w:sz w:val="18"/>
                  <w:u w:val="single"/>
                </w:rPr>
                <w:t>Certification of Interim Chief Financial Officer required by Rule 13a-14(a) or Rule 15d-14(a).</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4" w:type="dxa"/>
            <w:tcBorders/>
            <w:tcMar>
              <w:top w:w="0" w:type="dxa"/>
              <w:left w:w="0" w:type="dxa"/>
              <w:bottom w:w="0" w:type="dxa"/>
              <w:right w:w="0" w:type="dxa"/>
            </w:tcMar>
            <w:vAlign w:val="center"/>
          </w:tcPr>
          <w:p>
            <w:pPr>
              <w:pStyle w:val="TableContents"/>
              <w:bidi w:val="0"/>
              <w:spacing w:before="0" w:after="283"/>
              <w:jc w:val="left"/>
              <w:rPr/>
            </w:pPr>
            <w:hyperlink w:anchor="sybx-ex32.htm">
              <w:r>
                <w:rPr>
                  <w:rStyle w:val="InternetLink"/>
                  <w:rFonts w:ascii="Times New Roman" w:hAnsi="Times New Roman"/>
                  <w:color w:val="0000FF"/>
                  <w:sz w:val="18"/>
                  <w:u w:val="single"/>
                </w:rPr>
                <w:t>Certification required by Rule 13a-14(b) or Rule 15d-14(b) and Section 1350 of Chapter 63 of Title 18 of the United States Code (18 U.S.C. §1350).</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 – the instance document does not appear in the Interactive Date File because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6" w:space="1" w:color="000000"/>
        </w:pBdr>
        <w:bidi w:val="0"/>
        <w:spacing w:before="0" w:after="6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The certification attached as Exhibit 32 that accompanies this Quarterly Report on Form 10-Q is not deemed filed with the Securities and Exchange Commission and is not to be incorporated by reference into any filing of Synlogic, Inc. under the Securities Act of 1933, as amended, or the Securities Exchange Act of 1934, as amended (whether made before or after the date of such Form 10-Q), irrespective of any general incorporation language contained in such filing.</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signatures"/>
      <w:bookmarkEnd w:id="19"/>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11, 2026</w:t>
      </w:r>
    </w:p>
    <w:p>
      <w:pPr>
        <w:pStyle w:val="TextBody"/>
        <w:bidi w:val="0"/>
        <w:jc w:val="left"/>
        <w:rPr/>
      </w:pPr>
      <w:r>
        <w:rPr/>
        <w:t> </w:t>
      </w:r>
    </w:p>
    <w:tbl>
      <w:tblPr>
        <w:tblW w:w="7944" w:type="dxa"/>
        <w:jc w:val="left"/>
        <w:tblInd w:w="0" w:type="dxa"/>
        <w:tblLayout w:type="fixed"/>
        <w:tblCellMar>
          <w:top w:w="28" w:type="dxa"/>
          <w:left w:w="28" w:type="dxa"/>
          <w:bottom w:w="28" w:type="dxa"/>
          <w:right w:w="28" w:type="dxa"/>
        </w:tblCellMar>
      </w:tblPr>
      <w:tblGrid>
        <w:gridCol w:w="161"/>
        <w:gridCol w:w="406"/>
        <w:gridCol w:w="146"/>
        <w:gridCol w:w="723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3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78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SYNLOGIC,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/s/</w:t>
            </w:r>
            <w:r>
              <w:rPr>
                <w:rFonts w:ascii="Times New Roman" w:hAnsi="Times New Roman"/>
                <w:smallCaps/>
                <w:color w:val="000000"/>
                <w:sz w:val="20"/>
              </w:rPr>
              <w:t> MARY BETH DOOLEY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 Beth Dooley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 and Principal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(principal executive officer, principal financial officer and principal accounting officer)</w:t>
            </w:r>
          </w:p>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bookmarkStart w:id="20" w:name="sybx-ex31_1.htm"/>
      <w:bookmarkStart w:id="21" w:name="kssybxex31_1"/>
      <w:bookmarkEnd w:id="20"/>
      <w:bookmarkEnd w:id="2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 PURSUANT</w:t>
      </w:r>
    </w:p>
    <w:p>
      <w:pPr>
        <w:pStyle w:val="TextBody"/>
        <w:bidi w:val="0"/>
        <w:jc w:val="center"/>
        <w:rPr>
          <w:rFonts w:ascii="Times New Roman" w:hAnsi="Times New Roman"/>
          <w:b/>
          <w:color w:val="000000"/>
          <w:sz w:val="20"/>
        </w:rPr>
      </w:pPr>
      <w:r>
        <w:rPr>
          <w:rFonts w:ascii="Times New Roman" w:hAnsi="Times New Roman"/>
          <w:b/>
          <w:color w:val="000000"/>
          <w:sz w:val="20"/>
        </w:rPr>
        <w:t>TO RULES 13a-14(a) AND 15d-14(a) UNDER</w:t>
      </w:r>
    </w:p>
    <w:p>
      <w:pPr>
        <w:pStyle w:val="TextBody"/>
        <w:bidi w:val="0"/>
        <w:jc w:val="center"/>
        <w:rPr>
          <w:rFonts w:ascii="Times New Roman" w:hAnsi="Times New Roman"/>
          <w:sz w:val="20"/>
        </w:rPr>
      </w:pPr>
      <w:r>
        <w:rPr>
          <w:rFonts w:ascii="Times New Roman" w:hAnsi="Times New Roman"/>
          <w:b/>
          <w:color w:val="000000"/>
          <w:sz w:val="20"/>
        </w:rPr>
        <w:t>THE SECURITIES EXCHANGE ACT OF 1934,</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Mary Beth Dooley,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Synlogic,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11, 2026</w:t>
      </w:r>
    </w:p>
    <w:p>
      <w:pPr>
        <w:pStyle w:val="TextBody"/>
        <w:bidi w:val="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MARY BETH DOOLEY</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 Beth Dooley</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2" w:name="sybx-ex31_2.htm"/>
      <w:bookmarkStart w:id="23" w:name="kssybxex31_2"/>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 PURSUANT</w:t>
      </w:r>
    </w:p>
    <w:p>
      <w:pPr>
        <w:pStyle w:val="TextBody"/>
        <w:bidi w:val="0"/>
        <w:jc w:val="center"/>
        <w:rPr>
          <w:rFonts w:ascii="Times New Roman" w:hAnsi="Times New Roman"/>
          <w:b/>
          <w:color w:val="000000"/>
          <w:sz w:val="20"/>
        </w:rPr>
      </w:pPr>
      <w:r>
        <w:rPr>
          <w:rFonts w:ascii="Times New Roman" w:hAnsi="Times New Roman"/>
          <w:b/>
          <w:color w:val="000000"/>
          <w:sz w:val="20"/>
        </w:rPr>
        <w:t>TO RULES 13a-14(a) AND 15d-14(a) UNDER</w:t>
      </w:r>
    </w:p>
    <w:p>
      <w:pPr>
        <w:pStyle w:val="TextBody"/>
        <w:bidi w:val="0"/>
        <w:jc w:val="center"/>
        <w:rPr>
          <w:rFonts w:ascii="Times New Roman" w:hAnsi="Times New Roman"/>
          <w:b/>
          <w:color w:val="000000"/>
          <w:sz w:val="20"/>
        </w:rPr>
      </w:pPr>
      <w:r>
        <w:rPr>
          <w:rFonts w:ascii="Times New Roman" w:hAnsi="Times New Roman"/>
          <w:b/>
          <w:color w:val="000000"/>
          <w:sz w:val="20"/>
        </w:rPr>
        <w:t>THE SECURITIES EXCHANGE ACT OF 1934,</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Mary Beth Dooley,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Synlogic,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11, 2026</w:t>
      </w:r>
    </w:p>
    <w:p>
      <w:pPr>
        <w:pStyle w:val="TextBody"/>
        <w:bidi w:val="0"/>
        <w:jc w:val="left"/>
        <w:rPr/>
      </w:pPr>
      <w:r>
        <w:rPr/>
        <w:t> </w:t>
      </w:r>
    </w:p>
    <w:tbl>
      <w:tblPr>
        <w:tblW w:w="5011" w:type="dxa"/>
        <w:jc w:val="left"/>
        <w:tblInd w:w="0" w:type="dxa"/>
        <w:tblLayout w:type="fixed"/>
        <w:tblCellMar>
          <w:top w:w="28" w:type="dxa"/>
          <w:left w:w="28" w:type="dxa"/>
          <w:bottom w:w="28" w:type="dxa"/>
          <w:right w:w="28" w:type="dxa"/>
        </w:tblCellMar>
      </w:tblPr>
      <w:tblGrid>
        <w:gridCol w:w="5011"/>
      </w:tblGrid>
      <w:tr>
        <w:trPr/>
        <w:tc>
          <w:tcPr>
            <w:tcW w:w="5011" w:type="dxa"/>
            <w:tcBorders/>
            <w:vAlign w:val="center"/>
          </w:tcPr>
          <w:p>
            <w:pPr>
              <w:pStyle w:val="TableContents"/>
              <w:bidi w:val="0"/>
              <w:spacing w:before="0" w:after="283"/>
              <w:jc w:val="left"/>
              <w:rPr>
                <w:sz w:val="4"/>
                <w:szCs w:val="4"/>
              </w:rPr>
            </w:pPr>
            <w:r>
              <w:rPr>
                <w:sz w:val="4"/>
                <w:szCs w:val="4"/>
              </w:rPr>
            </w:r>
          </w:p>
        </w:tc>
      </w:tr>
      <w:tr>
        <w:trPr/>
        <w:tc>
          <w:tcPr>
            <w:tcW w:w="5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MARY BETH DOOLEY</w:t>
            </w:r>
          </w:p>
        </w:tc>
      </w:tr>
      <w:tr>
        <w:trPr/>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 Beth Dooley</w:t>
            </w:r>
          </w:p>
        </w:tc>
      </w:tr>
      <w:tr>
        <w:trPr/>
        <w:tc>
          <w:tcPr>
            <w:tcW w:w="50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20"/>
              </w:rPr>
              <w:t>Principal Financial Officer</w:t>
            </w:r>
          </w:p>
        </w:tc>
      </w:tr>
      <w:tr>
        <w:trPr/>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sybx-ex32.htm"/>
      <w:bookmarkStart w:id="25" w:name="kssybxex32"/>
      <w:bookmarkEnd w:id="24"/>
      <w:bookmarkEnd w:id="25"/>
      <w:r>
        <w:rPr>
          <w:rFonts w:ascii="Times New Roman" w:hAnsi="Times New Roman"/>
          <w:b/>
          <w:color w:val="000000"/>
          <w:sz w:val="20"/>
        </w:rPr>
        <w:t>EXHIBIT 32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section 906 of the Sarbanes-Oxley Act of 2002 (subsections (a) and (b) of section 1350, chapter 63 of title 18, United States Code), each of the undersigned officers of Synlogic, Inc., a Delaware corporation (the “Company”), does hereby certify, to such officer’s knowledge,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Quarterly Report for the three months ended June 30,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5056" w:type="dxa"/>
        <w:jc w:val="left"/>
        <w:tblInd w:w="0" w:type="dxa"/>
        <w:tblLayout w:type="fixed"/>
        <w:tblCellMar>
          <w:top w:w="28" w:type="dxa"/>
          <w:left w:w="28" w:type="dxa"/>
          <w:bottom w:w="28" w:type="dxa"/>
          <w:right w:w="28" w:type="dxa"/>
        </w:tblCellMar>
      </w:tblPr>
      <w:tblGrid>
        <w:gridCol w:w="5056"/>
      </w:tblGrid>
      <w:tr>
        <w:trPr/>
        <w:tc>
          <w:tcPr>
            <w:tcW w:w="5056" w:type="dxa"/>
            <w:tcBorders/>
            <w:vAlign w:val="center"/>
          </w:tcPr>
          <w:p>
            <w:pPr>
              <w:pStyle w:val="TableContents"/>
              <w:bidi w:val="0"/>
              <w:spacing w:before="0" w:after="283"/>
              <w:jc w:val="left"/>
              <w:rPr>
                <w:sz w:val="4"/>
                <w:szCs w:val="4"/>
              </w:rPr>
            </w:pPr>
            <w:r>
              <w:rPr>
                <w:sz w:val="4"/>
                <w:szCs w:val="4"/>
              </w:rPr>
            </w:r>
          </w:p>
        </w:tc>
      </w:tr>
      <w:tr>
        <w:trPr/>
        <w:tc>
          <w:tcPr>
            <w:tcW w:w="505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MARY BETH DOOLEY</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 Beth Dooley</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 and Principal Financial Officer</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 and principal financial officer)</w:t>
            </w:r>
          </w:p>
        </w:tc>
      </w:tr>
    </w:tbl>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August 11,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12311</Words>
  <Characters>67669</Characters>
  <CharactersWithSpaces>80567</CharactersWithSpaces>
  <Paragraphs>3537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