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20" w:hanging="499"/>
        <w:spacing w:after="0" w:line="258"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35"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sz w:val="24"/>
          <w:szCs w:val="24"/>
          <w:color w:val="auto"/>
        </w:rPr>
      </w:pPr>
    </w:p>
    <w:p>
      <w:pPr>
        <w:ind w:left="52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1934 FOR THE TRANSITION PERIOD FROM</w:t>
      </w:r>
      <w:r>
        <w:rPr>
          <w:sz w:val="20"/>
          <w:szCs w:val="20"/>
          <w:color w:val="auto"/>
        </w:rPr>
        <w:tab/>
      </w:r>
      <w:r>
        <w:rPr>
          <w:rFonts w:ascii="Times New Roman" w:cs="Times New Roman" w:eastAsia="Times New Roman" w:hAnsi="Times New Roman"/>
          <w:sz w:val="22"/>
          <w:szCs w:val="22"/>
          <w:b w:val="1"/>
          <w:bCs w:val="1"/>
          <w:color w:val="auto"/>
        </w:rPr>
        <w:t>TO</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529"/>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Times New Roman" w:cs="Times New Roman" w:eastAsia="Times New Roman" w:hAnsi="Times New Roman"/>
                <w:sz w:val="18"/>
                <w:szCs w:val="18"/>
                <w:b w:val="1"/>
                <w:bCs w:val="1"/>
                <w:color w:val="auto"/>
              </w:rPr>
              <w:t>26-1824804</w:t>
            </w:r>
          </w:p>
        </w:tc>
        <w:tc>
          <w:tcPr>
            <w:tcW w:w="0" w:type="dxa"/>
            <w:vAlign w:val="bottom"/>
          </w:tcPr>
          <w:p>
            <w:pPr>
              <w:spacing w:after="0"/>
              <w:rPr>
                <w:sz w:val="1"/>
                <w:szCs w:val="1"/>
                <w:color w:val="auto"/>
              </w:rPr>
            </w:pPr>
          </w:p>
        </w:tc>
      </w:tr>
      <w:tr>
        <w:trPr>
          <w:trHeight w:val="198"/>
        </w:trPr>
        <w:tc>
          <w:tcPr>
            <w:tcW w:w="3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60" w:type="dxa"/>
            <w:vAlign w:val="bottom"/>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6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178"/>
        </w:trPr>
        <w:tc>
          <w:tcPr>
            <w:tcW w:w="7880" w:type="dxa"/>
            <w:vAlign w:val="bottom"/>
            <w:gridSpan w:val="6"/>
          </w:tcPr>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6"/>
                <w:szCs w:val="16"/>
                <w:color w:val="auto"/>
              </w:rPr>
              <w:t>Trading Symbol</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Times New Roman" w:cs="Times New Roman" w:eastAsia="Times New Roman" w:hAnsi="Times New Roman"/>
                <w:sz w:val="16"/>
                <w:szCs w:val="16"/>
                <w:color w:val="auto"/>
              </w:rPr>
              <w:t>Name of exchange on which registered</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3" w:right="339" w:bottom="1440" w:gutter="0" w:footer="0" w:header="0"/>
        </w:sectPr>
      </w:pPr>
    </w:p>
    <w:p>
      <w:pPr>
        <w:spacing w:after="0" w:line="60"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73" w:lineRule="exact"/>
        <w:rPr>
          <w:sz w:val="24"/>
          <w:szCs w:val="24"/>
          <w:color w:val="auto"/>
        </w:rPr>
      </w:pPr>
    </w:p>
    <w:p>
      <w:pPr>
        <w:ind w:left="20"/>
        <w:spacing w:after="0" w:line="184" w:lineRule="exact"/>
        <w:tabs>
          <w:tab w:leader="none" w:pos="2500" w:val="left"/>
          <w:tab w:leader="none" w:pos="750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ind w:left="75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2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2080"/>
        <w:spacing w:after="0" w:line="2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7, 2024, there were </w:t>
      </w:r>
      <w:r>
        <w:rPr>
          <w:rFonts w:ascii="Times New Roman" w:cs="Times New Roman" w:eastAsia="Times New Roman" w:hAnsi="Times New Roman"/>
          <w:sz w:val="17"/>
          <w:szCs w:val="17"/>
          <w:color w:val="auto"/>
        </w:rPr>
        <w:t>11,707,011</w:t>
      </w:r>
      <w:r>
        <w:rPr>
          <w:rFonts w:ascii="Times New Roman" w:cs="Times New Roman" w:eastAsia="Times New Roman" w:hAnsi="Times New Roman"/>
          <w:sz w:val="16"/>
          <w:szCs w:val="16"/>
          <w:color w:val="auto"/>
        </w:rPr>
        <w:t xml:space="preserve">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80"/>
            <w:col w:w="300"/>
          </w:cols>
          <w:pgMar w:left="320" w:top="983"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97" w:lineRule="exact"/>
        <w:rPr>
          <w:sz w:val="20"/>
          <w:szCs w:val="20"/>
          <w:color w:val="auto"/>
        </w:rPr>
      </w:pPr>
    </w:p>
    <w:p>
      <w:pPr>
        <w:ind w:left="1020" w:right="6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with a goal to enhance stockholder value, including the possibility of a merger or a sale of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third parties;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in manufacturing products, as well as agreements with third-party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(COVID-19) or by other health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6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229"/>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7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34,946</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49,907</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 operating lease, net of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250,000,000 shares authorized as of March 31, 2024 and December 31, 2023;</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11,907,004 shares issued and 11,627,212 shares outstanding as of March 31, 2024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9,465,949 shares issued and 9,186,157 shares outstanding as of December 31, 2023</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459,458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(445,865 )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(414,301 )</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(279,792 shares at March 31, 2024 and at December 31, 2023)</w:t>
            </w:r>
          </w:p>
        </w:tc>
        <w:tc>
          <w:tcPr>
            <w:tcW w:w="3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(2,518 )</w:t>
            </w:r>
          </w:p>
        </w:tc>
      </w:tr>
      <w:tr>
        <w:trPr>
          <w:trHeight w:val="237"/>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-3616960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-3599815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-2031365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38,853</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tcBorders>
              <w:top w:val="single" w:sz="8" w:color="CFF0FC"/>
            </w:tcBorders>
          </w:tcPr>
          <w:p>
            <w:pPr>
              <w:spacing w:after="0"/>
              <w:rPr>
                <w:sz w:val="20"/>
                <w:szCs w:val="20"/>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(38,845 )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(16,243 )</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purchase warrant liability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(15,622 )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12,131,461</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4,604,682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(31,564 )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(15,622 )</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(31,570 )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(15,491 )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-2622550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-2296795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-676910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720" w:type="dxa"/>
            <w:vAlign w:val="bottom"/>
            <w:gridSpan w:val="3"/>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20" w:type="dxa"/>
            <w:vAlign w:val="bottom"/>
            <w:gridSpan w:val="3"/>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8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ve</w:t>
            </w:r>
          </w:p>
        </w:tc>
        <w:tc>
          <w:tcPr>
            <w:tcW w:w="140" w:type="dxa"/>
            <w:vAlign w:val="bottom"/>
          </w:tcPr>
          <w:p>
            <w:pPr>
              <w:spacing w:after="0"/>
              <w:rPr>
                <w:sz w:val="14"/>
                <w:szCs w:val="14"/>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3"/>
        </w:trPr>
        <w:tc>
          <w:tcPr>
            <w:tcW w:w="368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at December 31, 2022</w:t>
            </w: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(279,79</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(2,518</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4,728,874</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442,303</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(357,019 )</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680" w:type="dxa"/>
            <w:vAlign w:val="bottom"/>
            <w:tcBorders>
              <w:top w:val="single" w:sz="8" w:color="CFF0FC"/>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Proceeds from issuance of common stock in connection with at-</w:t>
            </w: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the-market offering,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68,893</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10,803</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7,322</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(15,622 )</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(15,622 )</w:t>
            </w:r>
          </w:p>
        </w:tc>
        <w:tc>
          <w:tcPr>
            <w:tcW w:w="0" w:type="dxa"/>
            <w:vAlign w:val="bottom"/>
          </w:tcPr>
          <w:p>
            <w:pPr>
              <w:spacing w:after="0"/>
              <w:rPr>
                <w:sz w:val="1"/>
                <w:szCs w:val="1"/>
                <w:color w:val="auto"/>
              </w:rPr>
            </w:pPr>
          </w:p>
        </w:tc>
      </w:tr>
      <w:tr>
        <w:trPr>
          <w:trHeight w:val="143"/>
        </w:trPr>
        <w:tc>
          <w:tcPr>
            <w:tcW w:w="368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at March 31, 2023</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(279,79</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4,815,892</w:t>
            </w:r>
          </w:p>
        </w:tc>
        <w:tc>
          <w:tcPr>
            <w:tcW w:w="240" w:type="dxa"/>
            <w:vAlign w:val="bottom"/>
          </w:tcPr>
          <w:p>
            <w:pPr>
              <w:spacing w:after="0"/>
              <w:rPr>
                <w:sz w:val="15"/>
                <w:szCs w:val="15"/>
                <w:color w:val="auto"/>
              </w:rPr>
            </w:pP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443,896</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(372,641 )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(279,79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9,465,949</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10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459,458</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(414,301 )</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in connection with at-</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the-market offering, net of 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7,839</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pre-funded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2,251,000</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362,700</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(182,978 )</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(6 )</w:t>
            </w:r>
          </w:p>
        </w:tc>
        <w:tc>
          <w:tcPr>
            <w:tcW w:w="1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17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(31,564 )</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(31,564 )</w:t>
            </w:r>
          </w:p>
        </w:tc>
        <w:tc>
          <w:tcPr>
            <w:tcW w:w="0" w:type="dxa"/>
            <w:vAlign w:val="bottom"/>
          </w:tcPr>
          <w:p>
            <w:pPr>
              <w:spacing w:after="0"/>
              <w:rPr>
                <w:sz w:val="1"/>
                <w:szCs w:val="1"/>
                <w:color w:val="auto"/>
              </w:rPr>
            </w:pPr>
          </w:p>
        </w:tc>
      </w:tr>
      <w:tr>
        <w:trPr>
          <w:trHeight w:val="143"/>
        </w:trPr>
        <w:tc>
          <w:tcPr>
            <w:tcW w:w="368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Balance at March 31, 2024</w:t>
            </w: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(279,79</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11,907,004</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461,696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(445,865 )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(2,518 )</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-2682240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-2665095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-2682240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-2665095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-2682240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-2665095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-2682240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-2665095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-2682240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-2665095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-2682240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-2665095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-2682240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-2665095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-1893570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-1893570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-1893570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-1893570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-1893570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-1893570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-1893570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-239395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-239395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-239395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-239395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-239395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-239395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-239395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 Consolidated Statements of Cash Flows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981" w:right="339" w:bottom="1440" w:gutter="0" w:footer="0" w:header="0"/>
        </w:sectPr>
      </w:pPr>
    </w:p>
    <w:p>
      <w:pPr>
        <w:spacing w:after="0" w:line="23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16510</wp:posOffset>
            </wp:positionV>
            <wp:extent cx="10026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9"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16510</wp:posOffset>
            </wp:positionV>
            <wp:extent cx="9855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p>
      <w:pPr>
        <w:spacing w:after="0" w:line="25" w:lineRule="exact"/>
        <w:rPr>
          <w:sz w:val="20"/>
          <w:szCs w:val="20"/>
          <w:color w:val="auto"/>
        </w:rPr>
      </w:pPr>
    </w:p>
    <w:p>
      <w:pPr>
        <w:sectPr>
          <w:pgSz w:w="11900" w:h="16838" w:orient="portrait"/>
          <w:cols w:equalWidth="0" w:num="2">
            <w:col w:w="9140" w:space="560"/>
            <w:col w:w="15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(31,564 )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(15,622 )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fixed assets</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loss on ROU assets</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5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(43 )</w:t>
            </w: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of prepaid research and development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(6,730 )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Accretion/amortization of investment securities</w:t>
            </w:r>
          </w:p>
        </w:tc>
        <w:tc>
          <w:tcPr>
            <w:tcW w:w="5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 in carrying amount of operating lease right of use asset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(568 )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(2,838 )</w:t>
            </w: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research and development, net of current portion</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(1,233 )</w:t>
            </w: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(2,378 )</w:t>
            </w:r>
          </w:p>
        </w:tc>
      </w:tr>
      <w:tr>
        <w:trPr>
          <w:trHeight w:val="247"/>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r>
      <w:tr>
        <w:trPr>
          <w:trHeight w:val="23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(1,182 )</w:t>
            </w: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(994 )</w:t>
            </w:r>
          </w:p>
        </w:tc>
      </w:tr>
      <w:tr>
        <w:trPr>
          <w:trHeight w:val="20"/>
        </w:trPr>
        <w:tc>
          <w:tcPr>
            <w:tcW w:w="7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(15,436 )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(21,505 )</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(1,477 )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(395 )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5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at-the-market offering, net of issuance</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purchases and exercise of stock options</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activities:</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right-of-use asset and operating lease liabilities due to lease termination</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3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-3140075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-3140075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-2197100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-2197100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-1116965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-1116965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-799465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7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to conduct a comprehensive review of strategic alternatives. The Company also announced a corporate restructuring that resulted in a reduction in its workforce by 90% that was substantially completed in the first quarter of 2024 (see Note 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$445.9 million at March 31, 2024. At March 31, 2024, the Company had $32.3 million in unrestricted cash, cash equivalents and short-term marketable securities. The Company believes the conditions and events raising substantial doubt about its ability to continue as a going concern no longer exist following the execution of the corporate restructuring (see Note 8) that was substantially completed in the first quarter of 2024. Accordingly, its current cash and cash equivalents as of March 31, 2024 will be sufficient to fund its operations at the current levels for at least the next 12 months from the date of this filing. The Company expects to continue to incur costs and expenditures in connection with the process of evaluating strategic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The significant accounting policies described in the Company’s audited financial statements as of and for the year ended December 31, 2023, and the notes thereto, which are included in the Company’s Annual Report on Form 10-K for the year ended December 31, 2023, filed with the Securities and Exchange Commission (SEC) on March 19, 2024 (the 2023 Annual Report), have had no material changes during the three months ended March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27, 2023, the Company effected a one-for-fifteen reverse stock split of its issued and outstanding common stock, which also adjusted all outstanding warrants. Accordingly, all share and per share amounts for all periods presented in the accompanying consolidated financial statements and notes thereto have been adjusted retroactively, where applicable, to reflect this stock split. All fractional shares resulting from the reverse stock split were paid in cash.</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related disclosures as of March 31, 2024 and for the three months ended March 31, 2024 and 2023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2023 and 2022 audited consolidated financial statements and notes included in the 2023 Annual Report. The consolidated balance sheet as of December 31, 2023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2024 and 2023. The results of operations for the interim periods are not necessarily indicative of the results to be expected for the year ending December 31, 2024 or any other interim period or future year or period.</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35" w:lineRule="exact"/>
        <w:rPr>
          <w:sz w:val="20"/>
          <w:szCs w:val="20"/>
          <w:color w:val="auto"/>
        </w:rPr>
      </w:pPr>
    </w:p>
    <w:p>
      <w:pPr>
        <w:ind w:right="560" w:firstLine="562"/>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35" w:lineRule="exact"/>
        <w:rPr>
          <w:sz w:val="20"/>
          <w:szCs w:val="20"/>
          <w:color w:val="auto"/>
        </w:rPr>
      </w:pPr>
    </w:p>
    <w:p>
      <w:pPr>
        <w:ind w:right="40" w:firstLine="562"/>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accounting standard setting boards that the Company adopts as of the effective date. Unless otherwise discussed below, recently issued pronouncements that are or will be applicable to the Company did not have, or are not expected to have, a material impact on the Company’s present or future financial statements.</w:t>
      </w:r>
    </w:p>
    <w:p>
      <w:pPr>
        <w:spacing w:after="0" w:line="30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that are measured at fair value on a recurring basis and indicate the fair value hierarchy of the valuation techniques the Company utilized to determine such fair value, as described under Note 2</w:t>
      </w:r>
      <w:r>
        <w:rPr>
          <w:rFonts w:ascii="Times New Roman" w:cs="Times New Roman" w:eastAsia="Times New Roman" w:hAnsi="Times New Roman"/>
          <w:sz w:val="18"/>
          <w:szCs w:val="18"/>
          <w:i w:val="1"/>
          <w:iCs w:val="1"/>
          <w:color w:val="auto"/>
        </w:rPr>
        <w:t>,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in the audited financial statements included in the 2023 Annual Report.</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 None of the purchase warrants have been exercised since their issuance.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6" w:right="419" w:bottom="1440" w:gutter="0" w:footer="0" w:header="0"/>
        </w:sectPr>
      </w:pPr>
    </w:p>
    <w:bookmarkStart w:id="9" w:name="page10"/>
    <w:bookmarkEnd w:id="9"/>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Company has classified assets and liabilities measured at fair value on a recurring basis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00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2"/>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(included in cash and cash</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0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warrant liability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-2879725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-2862580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-2879725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-2862580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-2879725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-2862580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-2879725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-2862580</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-2545080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-2545080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-2545080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-2545080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-522605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-505460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-522605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-505460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-522605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-505460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-522605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equivalents, prepaid expenses and other current assets, accounts payable and accrued expenses at March 31, 2024 and December 31, 2023 are carried at amounts that approximate fair value due to their short-term maturities. Finance lease obligations at March 31, 2024 and December 31, 2023 approximate fair value as they bear interest at a rate approximating a market interest rate.</w:t>
      </w:r>
    </w:p>
    <w:p>
      <w:pPr>
        <w:spacing w:after="0" w:line="243"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the assets presented within cash and cash equivalents measured at fair value and the gross unrealized holding gains and losses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5"/>
        </w:trPr>
        <w:tc>
          <w:tcPr>
            <w:tcW w:w="428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9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22,825</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(included in cash and cash equivalents)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0"/>
                <w:szCs w:val="20"/>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2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5"/>
        </w:trPr>
        <w:tc>
          <w:tcPr>
            <w:tcW w:w="4280" w:type="dxa"/>
            <w:vAlign w:val="bottom"/>
            <w:tcBorders>
              <w:top w:val="single" w:sz="8" w:color="auto"/>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9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(included in cash and cash equivalents)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20"/>
                <w:szCs w:val="20"/>
                <w:color w:val="auto"/>
              </w:rPr>
            </w:pPr>
          </w:p>
        </w:tc>
      </w:tr>
      <w:tr>
        <w:trPr>
          <w:trHeight w:val="27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9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00" w:type="dxa"/>
            <w:vAlign w:val="bottom"/>
            <w:shd w:val="clear" w:color="auto" w:fill="CFF0FC"/>
          </w:tcPr>
          <w:p>
            <w:pPr>
              <w:spacing w:after="0"/>
              <w:rPr>
                <w:sz w:val="24"/>
                <w:szCs w:val="24"/>
                <w:color w:val="auto"/>
              </w:rPr>
            </w:pPr>
          </w:p>
        </w:tc>
      </w:tr>
      <w:tr>
        <w:trPr>
          <w:trHeight w:val="849"/>
        </w:trPr>
        <w:tc>
          <w:tcPr>
            <w:tcW w:w="42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6"/>
        </w:trPr>
        <w:tc>
          <w:tcPr>
            <w:tcW w:w="4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-1962150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-1945005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-1962150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-1945005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-1962150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-1945005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-1053465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-1036320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-1053465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-1036320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-1053465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-1036320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Assumptions Used in Determining Fair Value of Warrants</w:t>
      </w:r>
    </w:p>
    <w:p>
      <w:pPr>
        <w:spacing w:after="0" w:line="11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option-pricing model for the purchase warrants on the consolidated balance sheets at March 31, 2024 and December 31, 2023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101600</wp:posOffset>
            </wp:positionV>
            <wp:extent cx="939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101600</wp:posOffset>
            </wp:positionV>
            <wp:extent cx="9398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40" w:type="dxa"/>
            <w:vAlign w:val="bottom"/>
            <w:tcBorders>
              <w:top w:val="single" w:sz="8" w:color="auto"/>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gridSpan w:val="2"/>
          </w:tcPr>
          <w:p>
            <w:pPr>
              <w:spacing w:after="0"/>
              <w:rPr>
                <w:sz w:val="16"/>
                <w:szCs w:val="16"/>
                <w:color w:val="auto"/>
              </w:rPr>
            </w:pP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4.5 years</w:t>
            </w:r>
          </w:p>
        </w:tc>
        <w:tc>
          <w:tcPr>
            <w:tcW w:w="30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4.75 years</w:t>
            </w:r>
          </w:p>
        </w:tc>
        <w:tc>
          <w:tcPr>
            <w:tcW w:w="60" w:type="dxa"/>
            <w:vAlign w:val="bottom"/>
          </w:tcPr>
          <w:p>
            <w:pPr>
              <w:spacing w:after="0"/>
              <w:rPr>
                <w:sz w:val="20"/>
                <w:szCs w:val="2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risk free interest rate</w:t>
            </w:r>
          </w:p>
        </w:tc>
        <w:tc>
          <w:tcPr>
            <w:tcW w:w="18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98.2 %</w:t>
            </w:r>
          </w:p>
        </w:tc>
        <w:tc>
          <w:tcPr>
            <w:tcW w:w="30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880" w:type="dxa"/>
            <w:vAlign w:val="bottom"/>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80" w:type="dxa"/>
            <w:vAlign w:val="bottom"/>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134"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available-for-sale securities held at March 31, 2024 and December 31, 2023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 and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-1053465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-1053465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contractual maturity of all securities held at March 31, 2024 was two months or less. There was one investment in an unrealized loss position at March 31, 2024. The aggregate fair value of the security in an unrealized loss position at March 31, 2024 was $1.5 million. There were two investments in an unrealized loss position at December 31, 2023, none of which had been in an unrealized loss position for more than twelve months. The aggregate fair value of the securities in an unrealized loss position at December 31, 2023 was $5.4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realized gains and losses on the sales of investments have not been material to the Company’s consolidated statement of operations.</w:t>
      </w:r>
    </w:p>
    <w:p>
      <w:pPr>
        <w:spacing w:after="0" w:line="32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committed to a plan to sell its remaining lab equipment and therefore has classified the amount as assets held for sale on the consolidated balance sheet as of March 31, 2024. The assets held for sale were reported at the lower of the carrying amount or fair value, less costs to sell. Accordingly, during the three months ended March 31, 2024, the Company recorded an impairment charge, which was included in restructuring and other charges, of $0.8 million related to the lab equipment classified as assets held for sale.</w:t>
      </w:r>
    </w:p>
    <w:p>
      <w:pPr>
        <w:spacing w:after="0" w:line="200" w:lineRule="exact"/>
        <w:rPr>
          <w:sz w:val="20"/>
          <w:szCs w:val="20"/>
          <w:color w:val="auto"/>
        </w:rPr>
      </w:pPr>
    </w:p>
    <w:p>
      <w:pPr>
        <w:spacing w:after="0" w:line="286"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11" w:name="page12"/>
    <w:bookmarkEnd w:id="11"/>
    <w:tbl>
      <w:tblPr>
        <w:tblLayout w:type="fixed"/>
        <w:tblInd w:w="136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40" w:type="dxa"/>
            <w:vAlign w:val="bottom"/>
          </w:tcPr>
          <w:p>
            <w:pPr>
              <w:spacing w:after="0"/>
              <w:rPr>
                <w:sz w:val="16"/>
                <w:szCs w:val="16"/>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FF0FC"/>
          </w:tcPr>
          <w:p>
            <w:pPr>
              <w:spacing w:after="0"/>
              <w:rPr>
                <w:sz w:val="20"/>
                <w:szCs w:val="20"/>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2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0"/>
                <w:szCs w:val="20"/>
                <w:color w:val="auto"/>
              </w:rPr>
            </w:pPr>
          </w:p>
        </w:tc>
      </w:tr>
      <w:tr>
        <w:trPr>
          <w:trHeight w:val="277"/>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0" w:type="dxa"/>
            <w:vAlign w:val="bottom"/>
            <w:tcBorders>
              <w:bottom w:val="single" w:sz="8" w:color="auto"/>
            </w:tcBorders>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 Charges</w:t>
      </w:r>
    </w:p>
    <w:p>
      <w:pPr>
        <w:spacing w:after="0" w:line="121"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 Due to this decision there has been an interim evaluation of impairment of long-lived and other assets which is described in detail below.</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announced a corporate restructuring that included a reduction in its workforce by more than 90% that was substantially completed during the three months ended March 31, 2024. In connection with the corporate restructuring, the Company recorded a restructuring charge for severance and related costs of $5.6 million during the three months ended March 31, 2024. The Company also executed consulting agreements with a select number of former employees in which their equity continues to vest under the terms of the original award. The consulting services were determined to be non-substantive and as a result, the Company has accelerated the related stock compensation expense and recorded an additional $1.8 million to stock compensation included in restructuring charges for the three months ended March 31, 2024.</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Restructuring and other charges also includes impairment of the right-of-use assets associated with the Company's existing leased spaces of $9.6 million and impairment of property and equipment of $5.3 million, primarily related to leasehold improvements in connection with the lease impairment.</w:t>
      </w:r>
    </w:p>
    <w:p>
      <w:pPr>
        <w:spacing w:after="0" w:line="54"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Other charges relating to the restructuring include a $5.2 million charge to impairment for prepaid research and development in relation to the Ginkgo collaboration (see Note 11) and $0.8 million for various costs related to the restructuring including legal fees, banking fees and lab decommissioning fees.</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approximately $2.1 million of the total restructuring charges remain unpaid and were included in accrued restructuring charges.</w:t>
      </w:r>
    </w:p>
    <w:p>
      <w:pPr>
        <w:spacing w:after="0" w:line="200" w:lineRule="exact"/>
        <w:rPr>
          <w:sz w:val="20"/>
          <w:szCs w:val="20"/>
          <w:color w:val="auto"/>
        </w:rPr>
      </w:pPr>
    </w:p>
    <w:p>
      <w:pPr>
        <w:spacing w:after="0" w:line="20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27, 2023, the Company effected a reverse stock split of its shares of common stock, pursuant to which every fifteen (15) shares of the its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2023 Financing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3, 2023, the Company issued and sold, through an underwritten public offering: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2" w:right="379" w:bottom="1440" w:gutter="0" w:footer="0" w:header="0"/>
        </w:sectPr>
      </w:pPr>
    </w:p>
    <w:bookmarkStart w:id="12" w:name="page13"/>
    <w:bookmarkEnd w:id="12"/>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3,921,928 shares of its common stock at a price of $2.84 per share less underwriting discounts and commissions;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3,472,435 shares of its common stock at a price of $2.839 immediately following the consummation of the offering,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common stock warrants to purchase up to 7,394,363 shares of its common stock at a price of $3.408 per share exercisable immediately after issuance and expires five years from the date of issuance.</w:t>
      </w:r>
    </w:p>
    <w:p>
      <w:pPr>
        <w:spacing w:after="0" w:line="5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spacing w:after="0" w:line="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$7.1 million. Any subsequent changes in fair value of the purchase 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spacing w:after="0" w:line="7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At March 31, 2024, the fair value of the purchase warrants was $4.4 million. Accordingly, a gain on remeasurement of the purchase warrant liability of $6.7 million was recorded in the three months ended March 31, 2024. Subsequent to their issuance and through March 31, 2024, 2,920,126 pre-funded warrants have been exercised. None of the purchase warrants have been exercised since their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(ATM) Offering Program</w:t>
      </w:r>
    </w:p>
    <w:p>
      <w:pPr>
        <w:spacing w:after="0" w:line="11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July 2021, the Company entered into a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three months ended March 31, 2024, 7,839 shares of common stock were sold pursuant to the sales agreement with Jefferies, resulting in net proceeds of approximately $0.01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Ginkgo Warrants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2019, the Company issued to Ginkgo Bioworks, Inc.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March 31, 2024. (See Note 9,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reserved for future issuance the following shares of common stock related to the potential exercise of Ginkgo pre-funded warrants, exercise of stock options, and the employee stock purchase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pre-funded warrants</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552,309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under purchase warrants</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issuable under Ginkgo pre-funded warrants</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to purchase common stock</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40" w:type="dxa"/>
            <w:vAlign w:val="bottom"/>
            <w:tcBorders>
              <w:bottom w:val="single" w:sz="8" w:color="CFF0FC"/>
            </w:tcBorders>
            <w:shd w:val="clear" w:color="auto" w:fill="CFF0FC"/>
          </w:tcPr>
          <w:p>
            <w:pPr>
              <w:spacing w:after="0"/>
              <w:rPr>
                <w:sz w:val="21"/>
                <w:szCs w:val="21"/>
                <w:color w:val="auto"/>
              </w:rPr>
            </w:pP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4,978,192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4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10</w:t>
            </w:r>
          </w:p>
        </w:tc>
        <w:tc>
          <w:tcPr>
            <w:tcW w:w="2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 2024, the number of shares of common stock available for issuance under the 2015 Equity Incentive Award Plan (the 2015 Plan) and the 2015 Employee Stock Purchase Plan (ESPP) was increased by 459,392 shares and 91,878 shares, respectively, due to the annual evergreen provision to increase shares available under the 2015 Plan and the ESPP. As of March 31, 2024, there were an aggregate of 604,072 shares available for future grant under the 2017 Stock Incentive Plan (the 2017 Plan) and the 2015 Plan, and 187,012 shares available for future grant under the ESPP.</w:t>
      </w:r>
    </w:p>
    <w:p>
      <w:pPr>
        <w:spacing w:after="0" w:line="139" w:lineRule="exact"/>
        <w:rPr>
          <w:sz w:val="20"/>
          <w:szCs w:val="20"/>
          <w:color w:val="auto"/>
        </w:rPr>
      </w:pPr>
    </w:p>
    <w:p>
      <w:pPr>
        <w:ind w:right="104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within the Company’s consolidated statements of operations and comprehensive loss for the three months ended March 31, 2024 and 2023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31,</w:t>
            </w:r>
          </w:p>
        </w:tc>
        <w:tc>
          <w:tcPr>
            <w:tcW w:w="1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0"/>
                <w:szCs w:val="20"/>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r>
      <w:tr>
        <w:trPr>
          <w:trHeight w:val="243"/>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expense acceleration</w:t>
            </w:r>
          </w:p>
        </w:tc>
        <w:tc>
          <w:tcPr>
            <w:tcW w:w="18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40" w:type="dxa"/>
            <w:vAlign w:val="bottom"/>
          </w:tcPr>
          <w:p>
            <w:pPr>
              <w:spacing w:after="0"/>
              <w:rPr>
                <w:sz w:val="20"/>
                <w:szCs w:val="20"/>
                <w:color w:val="auto"/>
              </w:rPr>
            </w:pPr>
          </w:p>
        </w:tc>
        <w:tc>
          <w:tcPr>
            <w:tcW w:w="1880" w:type="dxa"/>
            <w:vAlign w:val="bottom"/>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340" w:firstLine="509"/>
        <w:spacing w:after="0" w:line="245" w:lineRule="exact"/>
        <w:rPr>
          <w:sz w:val="20"/>
          <w:szCs w:val="20"/>
          <w:color w:val="auto"/>
        </w:rPr>
      </w:pPr>
      <w:r>
        <w:rPr>
          <w:rFonts w:ascii="Times New Roman" w:cs="Times New Roman" w:eastAsia="Times New Roman" w:hAnsi="Times New Roman"/>
          <w:sz w:val="18"/>
          <w:szCs w:val="18"/>
          <w:color w:val="auto"/>
        </w:rPr>
        <w:t>The following table summarizes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by type of award for the three months ended March 31, 2024 and 2023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20"/>
                <w:szCs w:val="20"/>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r>
      <w:tr>
        <w:trPr>
          <w:trHeight w:val="236"/>
        </w:trPr>
        <w:tc>
          <w:tcPr>
            <w:tcW w:w="6920" w:type="dxa"/>
            <w:vAlign w:val="bottom"/>
            <w:tcBorders>
              <w:top w:val="single" w:sz="8" w:color="CFF0FC"/>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FF0FC"/>
            </w:tcBorders>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44,701 stock options with a weighted average exercise price of $4.20 per share. As of March 31, 2024, there was $0.7 million of unrecognized share-based compensation related to unvested stock option grants which is expected to be recognized over a weighted average period of 1.93 years. The total unrecognized share-based compensation cost will be adjusted for actual forfeitures as they occur.</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362,700 restricted stock awards with a weighted average grant date fair value per share of $4.44. As of March 31, 2024, there was approximately $0.5 million of unrecognized share-based compensation related to restricted stock awards granted, which is expected to be recognized over a weighted average period of 1.8 years. The total unrecognized share-based compensation cost will be adjusted for actual forfeitures as they occur.</w:t>
      </w:r>
    </w:p>
    <w:p>
      <w:pPr>
        <w:spacing w:after="0" w:line="178"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full description of the Company’s equity plans, refer to Note 9, </w:t>
      </w:r>
      <w:r>
        <w:rPr>
          <w:rFonts w:ascii="Times New Roman" w:cs="Times New Roman" w:eastAsia="Times New Roman" w:hAnsi="Times New Roman"/>
          <w:sz w:val="18"/>
          <w:szCs w:val="18"/>
          <w:i w:val="1"/>
          <w:iCs w:val="1"/>
          <w:color w:val="auto"/>
        </w:rPr>
        <w:t>Equity-based Compensation and Equity Incentive Plans</w:t>
      </w:r>
      <w:r>
        <w:rPr>
          <w:rFonts w:ascii="Times New Roman" w:cs="Times New Roman" w:eastAsia="Times New Roman" w:hAnsi="Times New Roman"/>
          <w:sz w:val="18"/>
          <w:szCs w:val="18"/>
          <w:color w:val="auto"/>
        </w:rPr>
        <w:t xml:space="preserve"> in the 2023 Annual Report.</w:t>
      </w:r>
    </w:p>
    <w:p>
      <w:pPr>
        <w:spacing w:after="0" w:line="29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recognized $0.01 million and $0.2 million, respectively, as collaboration revenue associated with the Roche Collaboration and Option Agreement.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spacing w:after="0" w:line="1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xml:space="preserve">For a full description of the Roche Collaboration and Option Agreement, refer to Note 10,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in the 2023 Annual Report.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Ginkgo Collaboration</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2017, the Company established a technology collaboration with Ginkgo. In June 2019, the Company expanded its collaboration and entered into an agreement with Ginkgo for the research and development of engineered microbial therapeutic products (See Note 9). Under the 2019 expanded agreement, the Company made a prepayment to Ginkgo of $30.0 million for its foundry services that was to be provided to the Company over an initial term of five years, which could be extended for an additional three (3) years, subject to the satisfaction of specified conditions.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and significantly reduce its workforce and have made the decision to evaluate strategic options for the Company. As a result of this decision, the Company would no longer be purchasing services from Ginkgo. At March 31,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spacing w:after="0" w:line="2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and Note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Collaborations: Ginkgo Collaboration, </w:t>
      </w:r>
      <w:r>
        <w:rPr>
          <w:rFonts w:ascii="Times New Roman" w:cs="Times New Roman" w:eastAsia="Times New Roman" w:hAnsi="Times New Roman"/>
          <w:sz w:val="18"/>
          <w:szCs w:val="18"/>
          <w:color w:val="auto"/>
        </w:rPr>
        <w:t>in the audited financial statements included in the 2023 Annual Report). The shares of common stock into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warrants may be exercised are considered outstanding for the purposes of computing net loss per share.</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76"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194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13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warrants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3,921,928</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w:t>
            </w:r>
          </w:p>
        </w:tc>
        <w:tc>
          <w:tcPr>
            <w:tcW w:w="80" w:type="dxa"/>
            <w:vAlign w:val="bottom"/>
          </w:tcPr>
          <w:p>
            <w:pPr>
              <w:spacing w:after="0"/>
              <w:rPr>
                <w:sz w:val="20"/>
                <w:szCs w:val="20"/>
                <w:color w:val="auto"/>
              </w:rPr>
            </w:pPr>
          </w:p>
        </w:tc>
      </w:tr>
      <w:tr>
        <w:trPr>
          <w:trHeight w:val="247"/>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504,390</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740,474</w:t>
            </w:r>
          </w:p>
        </w:tc>
        <w:tc>
          <w:tcPr>
            <w:tcW w:w="80" w:type="dxa"/>
            <w:vAlign w:val="bottom"/>
            <w:shd w:val="clear" w:color="auto" w:fill="CFF0FC"/>
          </w:tcPr>
          <w:p>
            <w:pPr>
              <w:spacing w:after="0"/>
              <w:rPr>
                <w:sz w:val="21"/>
                <w:szCs w:val="2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issuable under the ESPP</w:t>
            </w: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commitments described in the Company’s consolidated financial statements as of and for the year ended December 31, 2023 and the notes thereto included in the 2023 Annual Report have had no material changes during the three months ended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left="560" w:hanging="552"/>
        <w:spacing w:after="0"/>
        <w:tabs>
          <w:tab w:leader="none" w:pos="5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June 2019, the Company expanded its collaboration and entered into an agreement with Ginkgo for the research and development of engineered microbial therapeutic products. As of March 31, 2024, Ginkgo owned 422,718 shares of the Company’s outstanding common stock. See Note 10, </w:t>
      </w:r>
      <w:r>
        <w:rPr>
          <w:rFonts w:ascii="Times New Roman" w:cs="Times New Roman" w:eastAsia="Times New Roman" w:hAnsi="Times New Roman"/>
          <w:sz w:val="18"/>
          <w:szCs w:val="18"/>
          <w:i w:val="1"/>
          <w:iCs w:val="1"/>
          <w:color w:val="auto"/>
        </w:rPr>
        <w:t>Ginkgo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in the audited financial statements included in the 2023 Annual Report.</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agreement the Company made a prepayment to Ginkgo of $30.0 million for its foundry services that would be provided to the Company over an initial term of five years.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significantly reduce its workforce and to evaluate strategic options for the Company. As a result of this decision, the Company would no longer be purchasing services from Ginkgo. At March 31,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interim financial statements and this Management’s Discussion and Analysis of Financial Condition and Results of Operations should be read together with our audited financial statements and accompanying notes for the years ended December 31, 2023 and 2022 included in our Annual Report on Form 10-K filed with the SEC on March 19, 2024 (the "2023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[24]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advancing novel therapeutics to transform the care of serious diseases. We focus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w:t>
      </w:r>
    </w:p>
    <w:p>
      <w:pPr>
        <w:spacing w:after="0" w:line="180"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have completed the discontinuation with all of the Synpheny-3 clinical trial sites.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spacing w:after="0" w:line="17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Our early-stage pipeline includes product candidates for enteric hyperoxaluria, gout, and cystinuria, and has been fueled by a reproducible,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approach that creates GI-restricted, oral medicines with new enzymatic pathways designed to consume or produce specific biological targets.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develop and manufacture these drug candidates, which are produced by applying genetic engineering to well-characterized probiotics.</w:t>
      </w:r>
    </w:p>
    <w:p>
      <w:pPr>
        <w:spacing w:after="0" w:line="20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based upon technology from the Massachusetts Institute of Technology (MIT) in 2014, we have progressed a pipeline of multiple drug candidates across different stages, including:</w:t>
      </w:r>
    </w:p>
    <w:p>
      <w:pPr>
        <w:spacing w:after="0" w:line="54"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Labafenogene marselecobac (SYNB1934), which was being studied in Synpheny-3, a pivotal, Phase 3 study for the treatment of patients with PKU;</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SYNB1353, a potential treatment for HCU, has achieved proof of mechanism in a Phase 1 study in healthy volunteers;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activities on a potential drug candidate for cystinuria, a rare, genetic cause of recurrent kidney stones which is also caused by an underlying metabolic disorder;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SYNB2081, a drug candidate for gout which was in IND-enabling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research focused on novel, locally-acting, GI-restricted biotherapeutics for indications in inflammatory bowel disease (IBD).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Synthetic Biotics In Clinical Development</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product pipeline consists of drug candidates targeting significant medical needs caused by an underlying metabolic disorder. These include labafenogene marselecobac, which was being evaluated in a pivotal, Phase 3 study in PKU, and drug candidates designed to treat HCU, enteric hyperoxaluria, and gout. Our preclinical work includes additional metabolic disease research, including cystinuria, target exploration, and focused research efforts in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262890</wp:posOffset>
            </wp:positionV>
            <wp:extent cx="6172200" cy="2794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8" w:name="page19"/>
    <w:bookmarkEnd w:id="18"/>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to date from product sales and have incurred significant operating losses since our inception. We have incurred net losses of approximately $31.6 million and $15.6 million for the three months ended March 31, 2024 and 2023, respectively. As of March 31, 2024, we had an accumulated deficit of approximately $445.9 million, and we expect to incur losses for the foreseeable future as we develop our product candidates and explore strategic alternatives. Historically, our expenses and capital requirements have increased substantially in connection with our research and development activities, as we:</w:t>
      </w:r>
    </w:p>
    <w:p>
      <w:pPr>
        <w:spacing w:after="0" w:line="75"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preclinical studies, initiated and completed clinical trials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Sought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expanded and protected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staff, including clinical, scientific, commercial,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existing infrastructure and secure space in a facility to support continued growth in our research and development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operational and finance personnel to support product development efforts and to support operating as a public company.</w:t>
      </w:r>
    </w:p>
    <w:p>
      <w:pPr>
        <w:spacing w:after="0" w:line="22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 xml:space="preserve">Revenue was previously generated through a collaboration and option agreement with Roche for the development and commercialization of product candidates. The Roche Collaboration and Option Agreement concluded after we achieved the last milestone under the Roche Collaboration and Option Agreement in October 2023. Subsequently, Roche did not exercise its exclusive option to enter into a licensing and collaboration agreement for further development and commercialization of the product candidate. See Note 11, </w:t>
      </w:r>
      <w:r>
        <w:rPr>
          <w:rFonts w:ascii="Times New Roman" w:cs="Times New Roman" w:eastAsia="Times New Roman" w:hAnsi="Times New Roman"/>
          <w:sz w:val="18"/>
          <w:szCs w:val="18"/>
          <w:i w:val="1"/>
          <w:iCs w:val="1"/>
          <w:color w:val="auto"/>
        </w:rPr>
        <w:t>Collaboration Agreements: Roche Collaboration</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 for a full discussion of the arrangement.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benefits and other employee related expenses;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to support our internal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related facility and depreciation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manufacturing space;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process and formulation development, preclinical and clinical studies and regulatory operations.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successful development of our product candidates is highly uncertain and subject to a number of risks. Refer to the risk factors under the heading </w:t>
      </w:r>
      <w:r>
        <w:rPr>
          <w:rFonts w:ascii="Times New Roman" w:cs="Times New Roman" w:eastAsia="Times New Roman" w:hAnsi="Times New Roman"/>
          <w:sz w:val="18"/>
          <w:szCs w:val="18"/>
          <w:i w:val="1"/>
          <w:iCs w:val="1"/>
          <w:color w:val="auto"/>
        </w:rPr>
        <w:t>Risks Related to the Development of Our Product Candidates</w:t>
      </w:r>
      <w:r>
        <w:rPr>
          <w:rFonts w:ascii="Times New Roman" w:cs="Times New Roman" w:eastAsia="Times New Roman" w:hAnsi="Times New Roman"/>
          <w:sz w:val="18"/>
          <w:szCs w:val="18"/>
          <w:color w:val="auto"/>
        </w:rPr>
        <w:t xml:space="preserve"> in Part II, Item 1A, found elsewhere in this Quarterly Report on Form 10-Q.</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decrease in the near future as we have discontinued our Synpheny-3 clinical trial and are evaluating strategic options for the Company.</w:t>
      </w:r>
    </w:p>
    <w:p>
      <w:pPr>
        <w:spacing w:after="0" w:line="162"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 and officer insurance costs as well as investor and public relations expenses associated with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which included implementing a reduction in workforce by more than 90%.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income earned on investments. Interest expense consists of expense related to our finance leases. Other expense consists primarily of gains and losses on foreign currency invoices and losses on remeasurement of the purchase warrant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described in our 2023 Annual Report. During the three months ended March 31, 2024, there were no new or material changes to our existing critical accounting policies. We believe that these identified policies are critical to fully understanding and evaluating our financial condition and results of operations.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and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the key factors our management believes are necessary for an understanding of our consolidated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6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5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w:t>
            </w: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38,853</w:t>
            </w:r>
          </w:p>
        </w:tc>
        <w:tc>
          <w:tcPr>
            <w:tcW w:w="400" w:type="dxa"/>
            <w:vAlign w:val="bottom"/>
            <w:tcBorders>
              <w:top w:val="single" w:sz="8" w:color="CFF0FC"/>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w:t>
            </w:r>
          </w:p>
        </w:tc>
        <w:tc>
          <w:tcPr>
            <w:tcW w:w="100" w:type="dxa"/>
            <w:vAlign w:val="bottom"/>
            <w:tcBorders>
              <w:top w:val="single" w:sz="8" w:color="CFF0FC"/>
            </w:tcBorders>
          </w:tcPr>
          <w:p>
            <w:pPr>
              <w:spacing w:after="0"/>
              <w:rPr>
                <w:sz w:val="20"/>
                <w:szCs w:val="20"/>
                <w:color w:val="auto"/>
              </w:rPr>
            </w:pPr>
          </w:p>
        </w:tc>
      </w:tr>
      <w:tr>
        <w:trPr>
          <w:trHeight w:val="241"/>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(38,845 )</w:t>
            </w:r>
          </w:p>
        </w:tc>
        <w:tc>
          <w:tcPr>
            <w:tcW w:w="6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(16,243 )</w:t>
            </w: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20"/>
                <w:szCs w:val="20"/>
                <w:color w:val="auto"/>
              </w:rPr>
            </w:pP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purchase warrant liability</w:t>
            </w: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4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540" w:type="dxa"/>
            <w:vAlign w:val="bottom"/>
          </w:tcPr>
          <w:p>
            <w:pPr>
              <w:spacing w:after="0"/>
              <w:rPr>
                <w:sz w:val="20"/>
                <w:szCs w:val="20"/>
                <w:color w:val="auto"/>
              </w:rPr>
            </w:pPr>
          </w:p>
        </w:tc>
        <w:tc>
          <w:tcPr>
            <w:tcW w:w="12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(2 )</w:t>
            </w:r>
          </w:p>
        </w:tc>
        <w:tc>
          <w:tcPr>
            <w:tcW w:w="62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4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spacing w:after="0"/>
              <w:rPr>
                <w:sz w:val="20"/>
                <w:szCs w:val="20"/>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(31,564 )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(15,622 )</w:t>
            </w:r>
          </w:p>
        </w:tc>
      </w:tr>
      <w:tr>
        <w:trPr>
          <w:trHeight w:val="20"/>
        </w:trPr>
        <w:tc>
          <w:tcPr>
            <w:tcW w:w="6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-1448435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right="80" w:firstLine="509"/>
        <w:spacing w:after="0" w:line="257" w:lineRule="auto"/>
        <w:rPr>
          <w:sz w:val="20"/>
          <w:szCs w:val="20"/>
          <w:color w:val="auto"/>
        </w:rPr>
      </w:pPr>
      <w:r>
        <w:rPr>
          <w:rFonts w:ascii="Times New Roman" w:cs="Times New Roman" w:eastAsia="Times New Roman" w:hAnsi="Times New Roman"/>
          <w:sz w:val="18"/>
          <w:szCs w:val="18"/>
          <w:color w:val="auto"/>
        </w:rPr>
        <w:t>Revenue was $0.01 million for the three months ended March 31, 2024, as compared to $0.2 million for the corresponding period in 2023. Revenue for the three months ended March 31, 2024 was related to a material transfer and consulting agreement, under which work was completed in March 2024. Revenue for the three months ended March 31, 2023 was related to services performed under the Roche collaboration that we entered into in June 2021.</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The Roche Collaboration concluded after the last milestone was achieved by the Company in October 2023. Subsequently, Roche did not exercise its exclusive option to enter into a licensing and collaboration agreement for further development and commercialization of the product candidate.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$7.7 million for the three months ended March 31, 2024 compared to $12.5 million in the corresponding period in 2023, an decrease of $4.8 million. The following table summarizes our research and development expense for the three months ended March 31, 2024 and 2023 (in thousands):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Labafenogene marselecobac (SYNB1934)</w:t>
            </w:r>
          </w:p>
        </w:tc>
        <w:tc>
          <w:tcPr>
            <w:tcW w:w="1620" w:type="dxa"/>
            <w:vAlign w:val="bottom"/>
            <w:shd w:val="clear" w:color="auto" w:fill="CFF0FC"/>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9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FF0FC"/>
          </w:tcPr>
          <w:p>
            <w:pPr>
              <w:spacing w:after="0"/>
              <w:rPr>
                <w:sz w:val="20"/>
                <w:szCs w:val="20"/>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SYNB1618</w:t>
            </w:r>
          </w:p>
        </w:tc>
        <w:tc>
          <w:tcPr>
            <w:tcW w:w="1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SYNB8802</w:t>
            </w:r>
          </w:p>
        </w:tc>
        <w:tc>
          <w:tcPr>
            <w:tcW w:w="1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SYNB1353</w:t>
            </w:r>
          </w:p>
        </w:tc>
        <w:tc>
          <w:tcPr>
            <w:tcW w:w="1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247"/>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SYNB1891</w:t>
            </w:r>
          </w:p>
        </w:tc>
        <w:tc>
          <w:tcPr>
            <w:tcW w:w="1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3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pre-development candidate costs and unallocated costs</w:t>
            </w:r>
          </w:p>
        </w:tc>
        <w:tc>
          <w:tcPr>
            <w:tcW w:w="1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r>
      <w:tr>
        <w:trPr>
          <w:trHeight w:val="236"/>
        </w:trPr>
        <w:tc>
          <w:tcPr>
            <w:tcW w:w="606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external costs</w:t>
            </w:r>
          </w:p>
        </w:tc>
        <w:tc>
          <w:tcPr>
            <w:tcW w:w="16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4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compensation and benefits (including equity-based compensation</w:t>
            </w:r>
          </w:p>
        </w:tc>
        <w:tc>
          <w:tcPr>
            <w:tcW w:w="1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6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4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FF0FC"/>
          </w:tcPr>
          <w:p>
            <w:pPr>
              <w:spacing w:after="0"/>
              <w:rPr>
                <w:sz w:val="21"/>
                <w:szCs w:val="21"/>
                <w:color w:val="auto"/>
              </w:rPr>
            </w:pPr>
          </w:p>
        </w:tc>
      </w:tr>
      <w:tr>
        <w:trPr>
          <w:trHeight w:val="239"/>
        </w:trPr>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Facility and other</w:t>
            </w:r>
          </w:p>
        </w:tc>
        <w:tc>
          <w:tcPr>
            <w:tcW w:w="1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4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0"/>
                <w:szCs w:val="20"/>
                <w:color w:val="auto"/>
              </w:rPr>
            </w:pPr>
          </w:p>
        </w:tc>
      </w:tr>
      <w:tr>
        <w:trPr>
          <w:trHeight w:val="236"/>
        </w:trPr>
        <w:tc>
          <w:tcPr>
            <w:tcW w:w="606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internal costs</w:t>
            </w:r>
          </w:p>
        </w:tc>
        <w:tc>
          <w:tcPr>
            <w:tcW w:w="16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4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620" w:type="dxa"/>
            <w:vAlign w:val="bottom"/>
          </w:tcPr>
          <w:p>
            <w:pPr>
              <w:jc w:val="right"/>
              <w:ind w:right="14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-959485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research and development expense was primarily due to the following:</w:t>
      </w:r>
    </w:p>
    <w:p>
      <w:pPr>
        <w:spacing w:after="0" w:line="117" w:lineRule="exact"/>
        <w:rPr>
          <w:sz w:val="20"/>
          <w:szCs w:val="20"/>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external research and development costs of $1.9 million, which primarily consisted of:</w:t>
      </w:r>
    </w:p>
    <w:p>
      <w:pPr>
        <w:spacing w:after="0" w:line="117" w:lineRule="exact"/>
        <w:rPr>
          <w:rFonts w:ascii="Times New Roman" w:cs="Times New Roman" w:eastAsia="Times New Roman" w:hAnsi="Times New Roman"/>
          <w:sz w:val="18"/>
          <w:szCs w:val="18"/>
          <w:color w:val="auto"/>
        </w:rPr>
      </w:pPr>
    </w:p>
    <w:p>
      <w:pPr>
        <w:ind w:left="2040" w:right="1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o$1.6 million decrease in clinical, manufacturing and professional costs associated with SYNB1618 (earlier generation for Labafenogene marselecobac) for the Phase 2 Synpheny-1 study, SYNB8802 (achieved proof of concept in 2022), SYNB1353 (demonstrated proof of mechanism in 2022) and SYNB1891 (completed enrollment in November 2021);</w:t>
      </w:r>
    </w:p>
    <w:p>
      <w:pPr>
        <w:spacing w:after="0" w:line="6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$1.5 million decrease in other early development candidates and unallocated costs; and</w:t>
      </w:r>
    </w:p>
    <w:p>
      <w:pPr>
        <w:spacing w:after="0" w:line="117" w:lineRule="exact"/>
        <w:rPr>
          <w:rFonts w:ascii="Times New Roman" w:cs="Times New Roman" w:eastAsia="Times New Roman" w:hAnsi="Times New Roman"/>
          <w:sz w:val="18"/>
          <w:szCs w:val="18"/>
          <w:color w:val="auto"/>
        </w:rPr>
      </w:pPr>
    </w:p>
    <w:p>
      <w:pPr>
        <w:ind w:left="204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o$1.2 million increase in clinical, manufacturing and professional costs associated with Labafenogene marselecobac (SYNB1934). The decision to discontinue Synpheny-3, our pivotal study of our lead product candidate, labafenogene marselecobac (SYNB1934), as a potential treatment for PKU, was made in February 2024. We expect these costs to decrease in future periods due to the discontinuation of the clinical trial.</w:t>
      </w:r>
    </w:p>
    <w:p>
      <w:pPr>
        <w:spacing w:after="0" w:line="287"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decrease in internal research and development costs, which was primarily driven by the corporate restructuring and reduction in its workforce by more than 90% during the three months ended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$2.9 million for the three months ended March 31, 2024, compared to $4.0 million for the corresponding period in 2023. The decrease was primarily due to lower compensation, benefits and other employee-related expenses due to reduced headcount and decreased professional services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February 2024, the Company and its board of directors decided to discontinue the Synpheny-3 trial and to conduct a comprehensive review of strategic alternatives. The Company also announced a corporate restructuring that resulted in a reduction in its workforce by 90% that was substantially completed in the first quarter of 2024. As a result of this decision, restructuring and other charges were $28.3 million for the three months ended March 31, 2024. The restructuring charges were primarily due to impairment charges related to our leases, property and equipment, and prepaid research and development, severance payments relating to the reduction in workforce, and accelerated stock compensation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Other income was $7.3 million for the three months ended March 31, 2024, compared to $0.6 million for the corresponding period in 2023. The increase in other income of $6.7 million was primarily related to the change in fair value of the purchase warrants classified as liabilities on the consolidated balance sheet.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incurred losses since our inception on March 14, 2014 and, as of March 31, 2024, we had an accumulated deficit of $445.9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March 31, 2024, we had $32.3 million in cash, cash equivalents and short-term marketable securities. Our cash and cash equivalents include amounts held in money market funds and commercial paper, stated at cost plus unrealized gain and loss, which approximates fair market value. During the three months ended March 31, 2024 our available-for-sale securities include amounts held in commercial paper.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our cash, cash equivalents and short-term marketable securities balance decreased by $15.4 million. This decrease was primarily due to the cash used to operate our business. In February 2024, we implemented a strategic reduction of our workforce by over 90%. In March 2024, we recorded restructuring charges and one-time impairment charges in connection with the restructuring.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cash equivalents and restricted cash for each of the periods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cash equivalents and restricted cash (used in) provided by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9"/>
              </w:rPr>
              <w:t>(15,436 )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(21,505 )</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$15.4 million for the three months ended March 31, 2024. The primary use of cash was our net loss of $31.6 million, changes in our assets and liabilities of $0.4 million, partially offset by $16.6 million of non-cash items primarily including the impairment of fixed assets and the right of use asset, change in fair value of purchase warrants, depreciation, equity-based compensation, and the right of use asset. The changes in our assets and liabilities include increases in prepaid expenses and other current assets, and decreases in prepaid research and development expenses, the operating lease liability, and accounts payable and accrued expenses. Net cash, cash equivalents and restricted cash used in operating activities for each of the remaining three quarters of the fiscal year ending December 31, 2024 is expected to be lower than the amount reported for the three months ended March 31, 2024, primarily due to the discontinuation of the Synpheny-3 trial and the reduction in workforce.</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cash equivalents and restricted cash used in operating activities was $21.5 million for the three months ended March 31, 2023. The primary use of cash was our net loss of $15.6 million, changes in our assets and liabilities of $7.7 million, partially offset by $1.8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$16.3 million and resulted primarily from the proceeds from maturity of marketable securities of $18.0 million and $0.2 million from sales of property and equipment. This was offset by the purchases of marketable securities of $1.5 million, and the purchases of property and equipment of $0.4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2023 was $30.3 million and resulted primarily from the proceeds from maturity of marketable securities of $30.4 million. This was offset by the purchases of property and equipment of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totaled $0.02 million, primarily related to net proceeds from the sale of our common stock in the ATM offering program.</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totaled $0.9 million, primarily related to net proceeds from the sale of our common stock in the ATM offering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currently expect our expenses to decrease in the near term due to our decision to discontinue our Synpheny-3 clinical trial and conduct workforce reductions while we explore strategic alternatives. Pending the outcome of our review of strategic alternatives, and should we decide to continue to advance the clinical development of our product candidates, we expect to incur additional costs in connection with such activities.</w:t>
      </w:r>
    </w:p>
    <w:p>
      <w:pPr>
        <w:spacing w:after="0" w:line="6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generated revenue from our prior collaboration with Roche and other collaborations, but have not generated any product revenue since our inception and do not expect to generate any product revenue unless we receive regulatory approval for our product candidates. The Company believes that its current cash and cash equivalents as of March 31, 2024 will be sufficient to fund its operations at the current levels for at least the next 12 months from the date of this filing.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will depend on many factors,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success, timing and cost of any strategic transactions, business combinations or divestiture;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costs involved in developing manufacturing processes and agreements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 of our commercialization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marketing and selling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additional collaborative, licensing or other arrangements that we may establish;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is adversely impacted by the effects of the coronavirus outbreak or by other health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19"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contractual obligations and commitments set forth under the heading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 Contractual Obligations and Commitments” </w:t>
      </w:r>
      <w:r>
        <w:rPr>
          <w:rFonts w:ascii="Times New Roman" w:cs="Times New Roman" w:eastAsia="Times New Roman" w:hAnsi="Times New Roman"/>
          <w:sz w:val="18"/>
          <w:szCs w:val="18"/>
          <w:color w:val="auto"/>
        </w:rPr>
        <w:t>in our 2023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transactions with related parties which may fall outside of the reporting period of this section, please see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xml:space="preserve"> in Amendment No. 1 to our 2023 Annual Report on Form 10-K/A filed with the SEC on April 29,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detailed information regarding recently issued accounting pronouncements and the expected impact on our consolidated financial statements,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unaudited consolidated financial statements appearing elsewhere in this Quarterly Report on Form 10-Q.</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this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disclosure controls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2024 that have materially affected, or are reasonably likely to materially affect, our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 Risk Factors.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following discussion of risk factors, References to “we”, “us”, “our” and similar terms refer to the combined business of Synlogic, Inc. after the Merger on August 28, 2017.</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2" w:lineRule="exact"/>
        <w:rPr>
          <w:sz w:val="20"/>
          <w:szCs w:val="20"/>
          <w:color w:val="auto"/>
        </w:rPr>
      </w:pPr>
    </w:p>
    <w:p>
      <w:pPr>
        <w:ind w:left="1020" w:right="1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history of losses, and we expect to continue to incur losses for the foreseeable future, and we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on acceptable terms, or at all.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and our stockholders may not be able to resell shares of our common stock at or above the price they paid.</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may make it difficult for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costly, time consuming and inherently risky, and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we are taking to discover and develop novel therapeutics using synthetic biology to create novel medicines is unproven and may never lead to marketable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503" w:right="48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a product candidate, we will remain subject to ongoing regulatory requirements.</w:t>
      </w:r>
    </w:p>
    <w:p>
      <w:pPr>
        <w:spacing w:after="0" w:line="117" w:lineRule="exact"/>
        <w:rPr>
          <w:rFonts w:ascii="Times New Roman" w:cs="Times New Roman" w:eastAsia="Times New Roman" w:hAnsi="Times New Roman"/>
          <w:sz w:val="18"/>
          <w:szCs w:val="18"/>
          <w:color w:val="auto"/>
        </w:rPr>
      </w:pPr>
    </w:p>
    <w:p>
      <w:pPr>
        <w:ind w:left="503" w:right="460" w:hanging="503"/>
        <w:spacing w:after="0" w:line="312" w:lineRule="auto"/>
        <w:tabs>
          <w:tab w:leader="none" w:pos="50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1" w:lineRule="exact"/>
        <w:rPr>
          <w:rFonts w:ascii="Times New Roman" w:cs="Times New Roman" w:eastAsia="Times New Roman" w:hAnsi="Times New Roman"/>
          <w:sz w:val="17"/>
          <w:szCs w:val="17"/>
          <w:color w:val="auto"/>
        </w:rPr>
      </w:pPr>
    </w:p>
    <w:p>
      <w:pPr>
        <w:ind w:left="503" w:right="140" w:hanging="503"/>
        <w:spacing w:after="0" w:line="261"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1"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about synthetic biology and genetic engineering could limit or prevent the use of our technologies and limit our revenues.</w:t>
      </w:r>
    </w:p>
    <w:p>
      <w:pPr>
        <w:spacing w:after="0" w:line="53" w:lineRule="exact"/>
        <w:rPr>
          <w:rFonts w:ascii="Times New Roman" w:cs="Times New Roman" w:eastAsia="Times New Roman" w:hAnsi="Times New Roman"/>
          <w:sz w:val="18"/>
          <w:szCs w:val="18"/>
          <w:color w:val="auto"/>
        </w:rPr>
      </w:pPr>
    </w:p>
    <w:p>
      <w:pPr>
        <w:ind w:left="503" w:right="66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Synthetic Biotics, product candidates and processes for our development pipeline through acquisitions and in-licenses.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patent term protections for our product candidates to effectively protect our business.</w:t>
      </w:r>
    </w:p>
    <w:p>
      <w:pPr>
        <w:spacing w:after="0" w:line="117" w:lineRule="exact"/>
        <w:rPr>
          <w:rFonts w:ascii="Times New Roman" w:cs="Times New Roman" w:eastAsia="Times New Roman" w:hAnsi="Times New Roman"/>
          <w:sz w:val="18"/>
          <w:szCs w:val="18"/>
          <w:color w:val="auto"/>
        </w:rPr>
      </w:pPr>
    </w:p>
    <w:p>
      <w:pPr>
        <w:ind w:left="503" w:right="24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proprietary rights for our product candidates or any future product candidates, we may not be able to compete effectively in our proposed markets.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may prevent or delay our development and commercialization efforts.</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503" w:right="500" w:hanging="503"/>
        <w:spacing w:after="0" w:line="266"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8" w:name="page29"/>
    <w:bookmarkEnd w:id="28"/>
    <w:p>
      <w:pPr>
        <w:ind w:left="1020" w:right="100" w:hanging="503"/>
        <w:spacing w:after="0" w:line="289"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9" w:lineRule="exact"/>
        <w:rPr>
          <w:rFonts w:ascii="Times New Roman" w:cs="Times New Roman" w:eastAsia="Times New Roman" w:hAnsi="Times New Roman"/>
          <w:sz w:val="17"/>
          <w:szCs w:val="17"/>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Evaluation of Strategic Alternatives</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to date has been significantly dependent on the success of SYNB1934, and we have decided to discontinue further development of SYNB1934 and devote significant time and resources to identifying and evaluating strategic alternatives, which may not be successful.</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Beginning in February 2024, we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spacing w:after="0" w:line="19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6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our company or any acquired businesses.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1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(ii) potential litigation against us, and other various claims and legal actions arising in the ordinary course of business; and (iii) non-cancelable facility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Capital Requirements and Operating Results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history of losses, and we expect to continue to incur losses for the foreseeable future, and we may never achieve or maintain profitability.</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developing Synthetic Biotics and we have incurred significant operating losses since our inception. Our net loss was approximately $31.6 million for the three months ended March 31, 2024 and $15.6 million for the three months ended March 31, 2023, respectively. As of March 31, 2024, we had an accumulated deficit of approximately $445.9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on acceptable terms, or at all.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40"/>
        <w:spacing w:after="0" w:line="282" w:lineRule="auto"/>
        <w:rPr>
          <w:sz w:val="20"/>
          <w:szCs w:val="20"/>
          <w:color w:val="auto"/>
        </w:rPr>
      </w:pPr>
      <w:r>
        <w:rPr>
          <w:rFonts w:ascii="Times New Roman" w:cs="Times New Roman" w:eastAsia="Times New Roman" w:hAnsi="Times New Roman"/>
          <w:sz w:val="18"/>
          <w:szCs w:val="18"/>
          <w:color w:val="auto"/>
        </w:rPr>
        <w:t>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68"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Synthetic Biotic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research programs, clinical trials, or other product development and approval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the need to attract and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the theft or misappropriation of our intellectual property, know-how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with our collaborators;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advantages that our competitors and potential competitors may have in securing funding or developing competing technologies or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that may be necessary to expand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macro-economic factors outside of our control.</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our stockholders may not be able to resell shares of our common stock at or above the price they paid.</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negative announcements by other companies involving similar technologies or diseases. These factors also include those discussed in this “Risk Factors” section of this Quarterly Report on Form 10-Q and others such as:</w:t>
      </w:r>
    </w:p>
    <w:p>
      <w:pPr>
        <w:spacing w:after="0" w:line="72" w:lineRule="exact"/>
        <w:rPr>
          <w:sz w:val="20"/>
          <w:szCs w:val="20"/>
          <w:color w:val="auto"/>
        </w:rPr>
      </w:pPr>
    </w:p>
    <w:p>
      <w:pPr>
        <w:ind w:left="1020" w:right="4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collaborations that we may enter into with respect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government contracts or grants;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delay of a development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related to our clinical trials 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synthetic biology and genetic engineering;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Perspectives on the programs of competitors</w:t>
      </w:r>
      <w:r>
        <w:rPr>
          <w:rFonts w:ascii="Times New Roman" w:cs="Times New Roman" w:eastAsia="Times New Roman" w:hAnsi="Times New Roman"/>
          <w:sz w:val="18"/>
          <w:szCs w:val="18"/>
          <w:u w:val="single" w:color="auto"/>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1" w:name="page32"/>
    <w:bookmarkEnd w:id="31"/>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the company, our executive officers and directors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equity or debt securities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 active, liquid and orderly market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short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3"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access to working capital 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or credit or other credit support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Events that may prevent successful or timely completion of clinical development of our product candidates include but are not limited to:</w:t>
      </w:r>
    </w:p>
    <w:p>
      <w:pPr>
        <w:spacing w:after="0" w:line="77" w:lineRule="exact"/>
        <w:rPr>
          <w:sz w:val="20"/>
          <w:szCs w:val="20"/>
          <w:color w:val="auto"/>
        </w:rPr>
      </w:pPr>
    </w:p>
    <w:p>
      <w:pPr>
        <w:ind w:left="1020" w:right="140" w:hanging="503"/>
        <w:spacing w:after="0" w:line="28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satisfactory preclinical or other nonclinical data, including,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or diagnostics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approval at each clinical trial site;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permit the conduct of a clinical trial by regulatory authorities, after review of an investigational new drug or equivalent foreign application or amendment;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qualified patients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clinical sites, CROs or other third parties to perform in accordance with the good clinical practices requirements of the FDA or applicable foreign regulatory guidelines;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the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unacceptable side effects or toxicity issues associated with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by the FDA of a clinical hold or the requirement by other similar regulatory agencies that one or more clinical trials be delayed or halted;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or performing additional nonclinical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affordability of the cost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clinical development and obtain regulatory approval for our product candidates could result in additional costs to us or impair our ability to raise additional capital or generate revenue. In addition, if we make manufacturing or formulation changes to our product candidates, we may need to conduct additional nonclinical studies and/or clinical trials, the results obtained from such new formulation may not be consistent with previous results obtained, or the regulatory authorities may need to further review and approve our process before we can proceed.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 Additionally, the FDA or other regulatory authorities may lack experience in evaluating the safety and efficacy of novel product candidates based on synthetic biology, which could result in a longer than expected regulatory review process, increase our expected development costs and delay or prevent commercialization of our product candidates.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concentrated our research and development efforts to date on a limited number of product candidates based on our Synthetic Biotic therapeutic platform.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nonclinical studies or clinical trials may be required to support regulatory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140"/>
        <w:spacing w:after="0" w:line="266" w:lineRule="auto"/>
        <w:rPr>
          <w:sz w:val="20"/>
          <w:szCs w:val="20"/>
          <w:color w:val="auto"/>
        </w:rPr>
      </w:pPr>
      <w:r>
        <w:rPr>
          <w:rFonts w:ascii="Times New Roman" w:cs="Times New Roman" w:eastAsia="Times New Roman" w:hAnsi="Times New Roman"/>
          <w:sz w:val="18"/>
          <w:szCs w:val="18"/>
          <w:color w:val="auto"/>
        </w:rPr>
        <w:t>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product candidates.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or revoke licenses for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of such products;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conduct additional clinical trials or costly post-marketing testing and surveillance to monitor the safety of the product;</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developed and may in the future develop product candidates that may be eligible for FDA and European Commission orphan drug designation. In May 2023, the FDA granted orphan drug designation to labafenogene 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the extent and scope of patent protection for some of our product candidates may be limited, obtaining orphan drug exclusivity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though we have obtained orphan drug designation for some of our product candidates and intend to seek orphan drug designation for other product candidates, there is no assurance that we will be the first to obtain marketing approval for any particular orphan indication. Further, even though we have obtained orphan drug designation for certain of our product candidates, or even if we obtain orphan drug designation for other potential product candidates, and obtain approval for such products, orphan product exclusivity may not effectively protect us from competition because different drugs can be approved for the same condition and the same drug can be approved for different conditions and potentially used off-label in the orphan indication. In addition,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20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January 2023, labafenogene marselecobac received RPDD (Rare Pediatric Drug Designation)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94" w:lineRule="exact"/>
        <w:rPr>
          <w:sz w:val="20"/>
          <w:szCs w:val="20"/>
          <w:color w:val="auto"/>
        </w:rPr>
      </w:pPr>
    </w:p>
    <w:p>
      <w:pPr>
        <w:jc w:val="center"/>
        <w:ind w:right="160"/>
        <w:spacing w:after="0" w:line="276" w:lineRule="auto"/>
        <w:rPr>
          <w:sz w:val="20"/>
          <w:szCs w:val="20"/>
          <w:color w:val="auto"/>
        </w:rPr>
      </w:pPr>
      <w:r>
        <w:rPr>
          <w:rFonts w:ascii="Times New Roman" w:cs="Times New Roman" w:eastAsia="Times New Roman" w:hAnsi="Times New Roman"/>
          <w:sz w:val="17"/>
          <w:szCs w:val="17"/>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spacing w:after="0" w:line="1" w:lineRule="exact"/>
        <w:rPr>
          <w:sz w:val="20"/>
          <w:szCs w:val="20"/>
          <w:color w:val="auto"/>
        </w:rPr>
      </w:pPr>
    </w:p>
    <w:p>
      <w:pPr>
        <w:ind w:right="60" w:firstLine="8"/>
        <w:spacing w:after="0" w:line="25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local or global health emergencies.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Congress also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 top-line” and preliminary data from our clinical trials that we announce or publish from time to time may change as more patient data become available and are subject to audit and verification procedures that could result in material changes in final data.</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ind w:right="60"/>
        <w:spacing w:after="0" w:line="256" w:lineRule="auto"/>
        <w:rPr>
          <w:sz w:val="20"/>
          <w:szCs w:val="20"/>
          <w:color w:val="auto"/>
        </w:rPr>
      </w:pPr>
      <w:r>
        <w:rPr>
          <w:rFonts w:ascii="Times New Roman" w:cs="Times New Roman" w:eastAsia="Times New Roman" w:hAnsi="Times New Roman"/>
          <w:sz w:val="18"/>
          <w:szCs w:val="18"/>
          <w:color w:val="auto"/>
        </w:rPr>
        <w:t>evaluated. Top-line or preliminary data also remain subject to audit and verification procedures that may result in the final data being materially different from the top-line or preliminary data that we previously published. As a result, top-line and preliminary data should be viewed with caution until final data are available. Adverse differences between interim data and final data could significantly harm our business prospects.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Further, disclosure of interim data by us or by our competitors could result in volatility in the price of our common stock.</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8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volunteers, investigators, patients or trial sites or limitations on approved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if commercialized, 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commercialized, product recalls, withdrawals of labeling, marketing or promotional restrictions or the need for product modification;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of litigation, including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substantially exceed our product liability insurance, which we would then be required to pay ourselves;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product liability insurance rates or the inability to maintain insurance coverage in the future on acceptable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Product liability claims may subject us to the foregoing and other risks, which could have a material adverse effect on our business, financial condition or results of operations.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Over the past several years, COVID-19 has affected segments of the global economy and it may materially affect our operations again,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including surges in cases,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COVID-19 may also affect employees of third-party contract research organizations and contract manufacturing organizations located in affected geographies that we rely upon to carry out our clinical trials.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COVID-19 may be difficult to assess or predict, a widespread pandemic could result in significant disruption of global financial markets, potentially reducing our ability to access capital, which could in the future negatively affect our liquidity. Similarly, the current conflicts between Ukraine and Russia and in the Middle East have created extreme volatility in the global capital markets and is expected to have further global economic consequences, including disruptions of the global supply chain and energy markets. In addition, we have previously announced our intention to open a clinical trial site in Israel and this could be impacted by the events in the Middle East. A recession or market correction resulting from the continued spread of COVID-19 or the geopolitical tensions in Russia and Ukraine, and in the Middle East, could materially affect our business and the price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candidate and it is possible that none of our existing product candidates or any product candidates we may seek to develop in the future will ever obtain that approval.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foreign regulatory authorities in order to support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European Union (EU) recently evolved. The EU Clinical Trials Regulation (CTR) which was adopted in April 2014 and repeals the EU Clinical Trials Directive, became applicable on January 31, 2022. The CTR introduced a centralized process and only requires the submission of a single application to all member states concerned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or CTIS. Once the CTA is approved, clinical study development may proceed. The extent to which ongoing and new clinical trials will be governed by the CTR varies. Clinical trials for which an application was submitted (i) prior to January 31, 2022 under the Clinical Trials Directive, which the CTR replaced, or (ii) between January 31, 2022 and January 31, 2023 and for which the sponsor has opted for the application of the Clinical Trials Directive remain governed by said Directive until January 31, 2025. After this date, all clinical trials, including those that are ongoing, will become subject to the provisions of the CTR. Compliance with the CTR requirements by us, our collaborators and third-party service providers, such as CROs, may impact our development plans.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firstLine="50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67" w:lineRule="exact"/>
        <w:rPr>
          <w:sz w:val="20"/>
          <w:szCs w:val="20"/>
          <w:color w:val="auto"/>
        </w:rPr>
      </w:pPr>
    </w:p>
    <w:p>
      <w:pPr>
        <w:jc w:val="both"/>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A drug or biologic designated as breakthrough therapies by the FDA could also be eligible for accelerated approval.</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67"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SYNB1934:labafenogene marselecobac) in April 2018, for labofenogene marselecobac in July 2023, and for SYNB1353 in August 2022.</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we will remain subject to ongoing regulatory requirements.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3" w:lineRule="auto"/>
        <w:rPr>
          <w:sz w:val="20"/>
          <w:szCs w:val="20"/>
          <w:color w:val="auto"/>
        </w:rPr>
      </w:pPr>
      <w:r>
        <w:rPr>
          <w:rFonts w:ascii="Times New Roman" w:cs="Times New Roman" w:eastAsia="Times New Roman" w:hAnsi="Times New Roman"/>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were obtained through an accelerated approval pathway, we could be required to conduct a successful post-marketing clinical trial in order to confirm the clinical benefit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our products. An unsuccessful post-marketing clinical trial or failure to complete such a trial could result in the withdrawal of marketing approval.</w:t>
      </w:r>
    </w:p>
    <w:p>
      <w:pPr>
        <w:spacing w:after="0" w:line="22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 or revoke a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ex-U.S. regulatory authorities may not accept data from trials conducted in locations outside of their jurisdiction.</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or other comparable ex-U.S. regulatory authority from clinical trials conducted outside of their respective jurisdictions may be subject to certain conditions. The acceptance of study data from clinical trials conducted outside the United States or another jurisdiction by the FDA or comparable ex-U.S. regulatory authority may be subject to certain conditions or may not be accepted at all. In cases where data from ex-U.S. clinical trials are intended to serve as the sole basis for marketing approval in the United States, the FDA will generally not approve the application on the basis of ex-U.S. data alone unless (i) the data are applicable to the U.S. population and U.S. medical practice; (ii) the trials were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right="60"/>
        <w:spacing w:after="0" w:line="256" w:lineRule="auto"/>
        <w:rPr>
          <w:sz w:val="20"/>
          <w:szCs w:val="20"/>
          <w:color w:val="auto"/>
        </w:rPr>
      </w:pPr>
      <w:r>
        <w:rPr>
          <w:rFonts w:ascii="Times New Roman" w:cs="Times New Roman" w:eastAsia="Times New Roman" w:hAnsi="Times New Roman"/>
          <w:sz w:val="18"/>
          <w:szCs w:val="18"/>
          <w:color w:val="auto"/>
        </w:rPr>
        <w:t>Furthermore, even where the ex-U.S.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ex-U.S. regulatory authorities have similar approval requirements. In addition, such ex-U.S. trials would be subject to the applicable local laws of the ex-U.S. jurisdictions where the trials are conducted. There can be no assurance that the FDA or any comparable ex-U.S. regulatory authority will accept data from trials conducted outside of its applicable jurisdiction. If the FDA or any comparable ex-U.S. regulatory authority does not accept such data, it would result in the need for additional trials.</w:t>
      </w:r>
    </w:p>
    <w:p>
      <w:pPr>
        <w:spacing w:after="0" w:line="29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increases in workload, and statutory, regulatory, and policy changes. Average review times at the agency have fluctuated in recent years as a result. In 2023, for example, members of Congress wrote to officials at the FDA expressing their concern that clinical holds should not be a means for FDA to gain additional time to review a clinical protocol.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financial condition or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700"/>
        <w:spacing w:after="0" w:line="282" w:lineRule="auto"/>
        <w:rPr>
          <w:sz w:val="20"/>
          <w:szCs w:val="20"/>
          <w:color w:val="auto"/>
        </w:rPr>
      </w:pPr>
      <w:r>
        <w:rPr>
          <w:rFonts w:ascii="Times New Roman" w:cs="Times New Roman" w:eastAsia="Times New Roman" w:hAnsi="Times New Roman"/>
          <w:sz w:val="18"/>
          <w:szCs w:val="18"/>
          <w:color w:val="auto"/>
        </w:rPr>
        <w:t>legal challenge in the federal court system, and their potential impact on the U.S. prescription drug marketplace is unknown. There are likely to be continued political and legal challenges associated with implementing these reforms as they are currently envisioned.</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addition, in the last few years, several states have formed prescription drug affordability boards (PDABs) with the authority to implement upper payment limits (UPLs) on drugs sold in their respective jurisdictions. However, there are several pending federal lawsuits challenging the authority of states to impose UPLs.</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payments sunshine laws and regulations. These laws may impact, among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20"/>
        <w:spacing w:after="0" w:line="282" w:lineRule="auto"/>
        <w:rPr>
          <w:sz w:val="20"/>
          <w:szCs w:val="20"/>
          <w:color w:val="auto"/>
        </w:rPr>
      </w:pPr>
      <w:r>
        <w:rPr>
          <w:rFonts w:ascii="Times New Roman" w:cs="Times New Roman" w:eastAsia="Times New Roman" w:hAnsi="Times New Roman"/>
          <w:sz w:val="18"/>
          <w:szCs w:val="18"/>
          <w:color w:val="auto"/>
        </w:rPr>
        <w:t>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54" w:lineRule="exact"/>
        <w:rPr>
          <w:sz w:val="20"/>
          <w:szCs w:val="20"/>
          <w:color w:val="auto"/>
        </w:rPr>
      </w:pPr>
    </w:p>
    <w:p>
      <w:pPr>
        <w:jc w:val="both"/>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government payors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requirements under the ACA require manufacturers of drugs, devices, biologics, and medical supplies to report annually to CMS information related to payments and other transfers of value to physicians, certain advanced non-physician healthcare providers, and teaching hospitals, and ownership and investment interests held by physicians and other healthcare providers and their immediate family members; and</w:t>
      </w:r>
    </w:p>
    <w:p>
      <w:pPr>
        <w:spacing w:after="0" w:line="7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8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healthcare reform legislation has strengthened these laws. For example, the ACA, among other things, amended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may in the future become subject to, U.S. federal and state, and international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many activities, including the conduct of clinical trials, we are subject to domestic and international laws and regulations governing data privacy, data security, and the protection of health-related and other personal information. The regulatory framework for collecting, using, safeguarding, sharing, transferring and other processing of personal information worldwide is rapidly evolving and in recent years there has been an increasing focus on privacy and data security issues with the potential to affect our business.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data breach notification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20"/>
        <w:spacing w:after="0" w:line="252" w:lineRule="auto"/>
        <w:rPr>
          <w:sz w:val="20"/>
          <w:szCs w:val="20"/>
          <w:color w:val="auto"/>
        </w:rPr>
      </w:pPr>
      <w:r>
        <w:rPr>
          <w:rFonts w:ascii="Times New Roman" w:cs="Times New Roman" w:eastAsia="Times New Roman" w:hAnsi="Times New Roman"/>
          <w:sz w:val="18"/>
          <w:szCs w:val="18"/>
          <w:color w:val="auto"/>
        </w:rPr>
        <w:t>and business. For example, California enacted the California Consumer Privacy Act (the CCPA), which took effect on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in 2020, California voters passed the California Privacy Rights Act (the CPRA), which became effective as of January 1, 2023. The CPRA significantly amends the CCPA and imposes additional data protection obligations on companies doing business in California, including additional consumer rights processes, limitations on data uses, new audit requirements for higher risk data, and opt outs for certain uses of sensitive data. It also creates a new regulatory entity, the California Privacy Protection Agency, which is authorized to issue substantive regulations under the CPRA and could result in increased privacy and information security enforcement. Although the CCPA currently exempts certain health-related information, including clinical trial data, the CCPA and the CPRA may increase our compliance costs and potential liability. In addition to California, more U.S. states are enacting similar legislation, increasing compliance complexity and increasing risks of failures to comply. In 2023, comprehensive privacy laws in Virginia, Colorado, Connecticut, and Utah all took effect, and laws in Montana, Oregon, and Texas will take effect in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spacing w:after="0" w:line="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collection, use, disclosure, transfer, or other processing of personal data in the European Union, including personal health data, is subject to the General Data Protection Regulation, or GDPR, which took effect in 2018 and applies to companies within and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enhances enforcement authority and imposes large penalties for noncompliance, including the potential for fines of up to €20 million or 4% of the annual global revenues of the infringer, whichever is greater. Additionally, the GDPR confers a private right of action on data subjects and consumer associations to lodge complaints with supervisory authorities, seek judicial remedies, and obtain compensation for damages resulting from violations of the GDPR. In addition, the withdrawal of the United Kingdom from the European Union and the subsequent separation of the data protection regimes of these territories mean we are required to also comply with similar data protection laws in the United Kingdom, which may lead to additional compliance costs and could increase our overall risk.</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Laws in the European Economic Area (EEA), Switzerland, and the UK on data export are also evolving. For example, the GDPR only permits exports of data outside the EU where there is a suitable data transfer solution in place to safeguard personal data (e.g. the EU Commission approved Standard Contractual Clauses or certification under the recently-adopted Data Privacy Framework). If we have to rely on third parties to carry out services for us, including processing personal data on our behalf, we are required under GDPR and similar laws in Switzerland and the UK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Future actions of EU, Swiss, and UK data protection authorities are difficult to predict. Some customers or other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86"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Numerous international,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international data protection laws. These laws and regulations are increasing in complexity and number, may change frequently and sometimes conflict.</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8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280"/>
        <w:spacing w:after="0" w:line="266" w:lineRule="auto"/>
        <w:rPr>
          <w:sz w:val="20"/>
          <w:szCs w:val="20"/>
          <w:color w:val="auto"/>
        </w:rPr>
      </w:pPr>
      <w:r>
        <w:rPr>
          <w:rFonts w:ascii="Times New Roman" w:cs="Times New Roman" w:eastAsia="Times New Roman" w:hAnsi="Times New Roman"/>
          <w:sz w:val="18"/>
          <w:szCs w:val="18"/>
          <w:color w:val="auto"/>
        </w:rPr>
        <w:t>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Other states have implemented similar laws protecting identifiable health and personal information, and most such laws differ from each other in significant ways and may not be preempted by HIPAA, thus complicating compliance efforts.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are often uncertain, contradictory, and in flux.</w:t>
      </w:r>
    </w:p>
    <w:p>
      <w:pPr>
        <w:spacing w:after="0" w:line="117" w:lineRule="exact"/>
        <w:rPr>
          <w:sz w:val="20"/>
          <w:szCs w:val="20"/>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7"/>
          <w:szCs w:val="17"/>
          <w:color w:val="auto"/>
        </w:rPr>
        <w:t>The legislative and regulatory landscape for privacy and data security continues to evolve, and there has been an increasing focus on privacy and data security issues which may affect our business. Despite our efforts, we may not have fully complied in the past and may not in the future.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ind w:right="200"/>
        <w:spacing w:after="0" w:line="282" w:lineRule="auto"/>
        <w:rPr>
          <w:sz w:val="20"/>
          <w:szCs w:val="20"/>
          <w:color w:val="auto"/>
        </w:rPr>
      </w:pPr>
      <w:r>
        <w:rPr>
          <w:rFonts w:ascii="Times New Roman" w:cs="Times New Roman" w:eastAsia="Times New Roman" w:hAnsi="Times New Roman"/>
          <w:sz w:val="18"/>
          <w:szCs w:val="18"/>
          <w:color w:val="auto"/>
        </w:rPr>
        <w:t>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cybersecurity incidents, which could result in a material disruption of our product development programs.</w:t>
      </w:r>
    </w:p>
    <w:p>
      <w:pPr>
        <w:spacing w:after="0" w:line="15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cybersecurity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w:t>
      </w:r>
    </w:p>
    <w:p>
      <w:pPr>
        <w:spacing w:after="0" w:line="31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460"/>
        <w:spacing w:after="0" w:line="282" w:lineRule="auto"/>
        <w:rPr>
          <w:sz w:val="20"/>
          <w:szCs w:val="20"/>
          <w:color w:val="auto"/>
        </w:rPr>
      </w:pPr>
      <w:r>
        <w:rPr>
          <w:rFonts w:ascii="Times New Roman" w:cs="Times New Roman" w:eastAsia="Times New Roman" w:hAnsi="Times New Roman"/>
          <w:sz w:val="18"/>
          <w:szCs w:val="18"/>
          <w:color w:val="auto"/>
        </w:rPr>
        <w:t>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line="256" w:lineRule="auto"/>
        <w:rPr>
          <w:sz w:val="20"/>
          <w:szCs w:val="20"/>
          <w:color w:val="auto"/>
        </w:rPr>
      </w:pPr>
      <w:r>
        <w:rPr>
          <w:rFonts w:ascii="Times New Roman" w:cs="Times New Roman" w:eastAsia="Times New Roman" w:hAnsi="Times New Roman"/>
          <w:sz w:val="18"/>
          <w:szCs w:val="18"/>
          <w:color w:val="auto"/>
        </w:rPr>
        <w:t>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is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protections for our product candidates to effectively protect our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0"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33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development and commercialization efforts.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1" w:name="page52"/>
    <w:bookmarkEnd w:id="51"/>
    <w:p>
      <w:pPr>
        <w:spacing w:after="0" w:line="266" w:lineRule="auto"/>
        <w:rPr>
          <w:sz w:val="20"/>
          <w:szCs w:val="20"/>
          <w:color w:val="auto"/>
        </w:rPr>
      </w:pPr>
      <w:r>
        <w:rPr>
          <w:rFonts w:ascii="Times New Roman" w:cs="Times New Roman" w:eastAsia="Times New Roman" w:hAnsi="Times New Roman"/>
          <w:sz w:val="18"/>
          <w:szCs w:val="18"/>
          <w:color w:val="auto"/>
        </w:rPr>
        <w:t>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in part, on our licensors to file, prosecute, maintain, defend and enforce patents and patent applications that are material to our business.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40"/>
        <w:spacing w:after="0" w:line="258" w:lineRule="auto"/>
        <w:rPr>
          <w:sz w:val="20"/>
          <w:szCs w:val="20"/>
          <w:color w:val="auto"/>
        </w:rPr>
      </w:pPr>
      <w:r>
        <w:rPr>
          <w:rFonts w:ascii="Times New Roman" w:cs="Times New Roman" w:eastAsia="Times New Roman" w:hAnsi="Times New Roman"/>
          <w:sz w:val="18"/>
          <w:szCs w:val="18"/>
          <w:color w:val="auto"/>
        </w:rPr>
        <w:t>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100"/>
        <w:spacing w:after="0" w:line="273" w:lineRule="auto"/>
        <w:rPr>
          <w:sz w:val="20"/>
          <w:szCs w:val="20"/>
          <w:color w:val="auto"/>
        </w:rPr>
      </w:pPr>
      <w:r>
        <w:rPr>
          <w:rFonts w:ascii="Times New Roman" w:cs="Times New Roman" w:eastAsia="Times New Roman" w:hAnsi="Times New Roman"/>
          <w:sz w:val="17"/>
          <w:szCs w:val="17"/>
          <w:color w:val="auto"/>
        </w:rPr>
        <w:t>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spacing w:after="0" w:line="30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historically relied on and may in the future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have historically relied on and may in the future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any third-party contractors and CROs we engage will be required to comply with GLP, as applicable, and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that we engage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9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may in the future rely on third-party supply and manufacturing partners for drug supplies for our late-stage clinical activities and may do the same for any commercial supplies of our product candidates.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relied on and may in the future rely on third-party supply and manufacturing partners to supply the materials and components to manufacture parts of the process of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Although our agreements with our suppliers and manufacturers require them to perform according to certain cGMP requirements such as those relating to quality control, quality assurance and qualified personnel, we have limited control over their conduct to implement and maintain these standards.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9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our suppliers and manufacturers are subject to inspection and approval by regulatory authorities before we can commence the manufacture and sale of any of our product candidates, and thereafter are subject to ongoing inspection from time to time.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or manufacturers would significantly impact our ability to develop, obtain regulatory approval for or, if approved, market our product candidates.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ind w:right="280"/>
        <w:spacing w:after="0" w:line="282" w:lineRule="auto"/>
        <w:rPr>
          <w:sz w:val="20"/>
          <w:szCs w:val="20"/>
          <w:color w:val="auto"/>
        </w:rPr>
      </w:pPr>
      <w:r>
        <w:rPr>
          <w:rFonts w:ascii="Times New Roman" w:cs="Times New Roman" w:eastAsia="Times New Roman" w:hAnsi="Times New Roman"/>
          <w:sz w:val="18"/>
          <w:szCs w:val="18"/>
          <w:color w:val="auto"/>
        </w:rPr>
        <w:t>reasonable terms, we may not be able to develop and commercialize our product candidates successfully. Our or a third-party’s failure to execute on our manufacturing requirements could adversely affect our business in a number of ways, including:</w:t>
      </w:r>
    </w:p>
    <w:p>
      <w:pPr>
        <w:spacing w:after="0" w:line="54" w:lineRule="exact"/>
        <w:rPr>
          <w:sz w:val="20"/>
          <w:szCs w:val="20"/>
          <w:color w:val="auto"/>
        </w:rPr>
      </w:pPr>
    </w:p>
    <w:p>
      <w:pPr>
        <w:ind w:left="1020" w:right="6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 which may impact our potential economic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32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67"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8" w:name="page59"/>
    <w:bookmarkEnd w:id="58"/>
    <w:p>
      <w:pPr>
        <w:ind w:right="360"/>
        <w:spacing w:after="0" w:line="266" w:lineRule="auto"/>
        <w:rPr>
          <w:sz w:val="20"/>
          <w:szCs w:val="20"/>
          <w:color w:val="auto"/>
        </w:rPr>
      </w:pPr>
      <w:r>
        <w:rPr>
          <w:rFonts w:ascii="Times New Roman" w:cs="Times New Roman" w:eastAsia="Times New Roman" w:hAnsi="Times New Roman"/>
          <w:sz w:val="18"/>
          <w:szCs w:val="18"/>
          <w:color w:val="auto"/>
        </w:rPr>
        <w:t>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have historically focused and may in the future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Even with approvals from the FDA and comparable foreign regulatory authorities, the commercial success of our products will depend in part on the healthcare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side effect profile of the product as demonstrated in clinical trials and potential advantages over competing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targeted;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approval is granted, including any limitations or warnings contained in a product’s approved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patients and physicians to accept products engineered from bacteria and these therapies;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sales and distribution support for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publicity concerning the products or competing products and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availability of third-party insurance coverage and reimbursement.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healthcare providers, we will not be able to generate sufficient revenue to become or remain profitable.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any efforts to identify, license, discover, develop, or commercialize additional product candidates.</w:t>
      </w:r>
    </w:p>
    <w:p>
      <w:pPr>
        <w:spacing w:after="0" w:line="121"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The success of our business is expected to depend largely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5" w:lineRule="exact"/>
        <w:rPr>
          <w:sz w:val="20"/>
          <w:szCs w:val="20"/>
          <w:color w:val="auto"/>
        </w:rPr>
      </w:pPr>
    </w:p>
    <w:p>
      <w:pPr>
        <w:ind w:left="1020" w:right="4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or business development methodology or search criteria and process may be unsuccessful in identifying potential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or willing to assemble sufficient resources to acquire or discover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product candidates may be shown to have harmful side effects or may have other characteristics that may make the products unmarketable or unlikely to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during development or commercialization so that such a product may become unreasonable to continue to develop or commercialize;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CMS, an agency within DHHS,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0" w:name="page61"/>
    <w:bookmarkEnd w:id="60"/>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on prescription drugs has increased and is expected to continue to increase in the future. As a result, profitability of our products, if any, may be more difficult to achieve even if they receive regulatory approval.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product candidates for which we obtain approval may face competition sooner than anticipated.</w:t>
      </w:r>
    </w:p>
    <w:p>
      <w:pPr>
        <w:spacing w:after="0" w:line="20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ahead of our competitors, our product candidates may face competition from biosimilar products. In the United States, Synthetic Biotic products are expected to be regulated by the FDA as biological products and we intend to seek approval for these product candidates pursuant to the BLA pathway.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spacing w:after="0" w:line="18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healthcare provider who prescribed the original biological product. However, as with all prescribing decisions made in the context of a patient-provider relationship and a patient’s specific medical needs, healthcare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preclinical studies and clinical trials. In such a situation, any exclusivity to which we may be eligible under the BPCIA would not prevent the competitor from marketing its biological product as soon as it is approved.</w:t>
      </w:r>
    </w:p>
    <w:p>
      <w:pPr>
        <w:spacing w:after="0" w:line="18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Furthermore, the CREATES Act established a private cause of action that permits a follow-on product developer to sue the brand manufacturer to compel it to furnish necessary samples of a reference product on “commercially reasonable, market-based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160"/>
        <w:spacing w:after="0" w:line="258" w:lineRule="auto"/>
        <w:rPr>
          <w:sz w:val="20"/>
          <w:szCs w:val="20"/>
          <w:color w:val="auto"/>
        </w:rPr>
      </w:pPr>
      <w:r>
        <w:rPr>
          <w:rFonts w:ascii="Times New Roman" w:cs="Times New Roman" w:eastAsia="Times New Roman" w:hAnsi="Times New Roman"/>
          <w:sz w:val="18"/>
          <w:szCs w:val="18"/>
          <w:color w:val="auto"/>
        </w:rPr>
        <w:t>terms.” If follow-on product developers request samples of any product candidates for which we receive marketing approval in order to conduct comparative testing to support one or more applications for a follow-on version of our products, and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Employees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ability to attract, retain and motivate highly qualified management, clinical and scientific personnel.</w:t>
      </w:r>
    </w:p>
    <w:p>
      <w:pPr>
        <w:spacing w:after="0" w:line="22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May 7, 2024, our executive officers and directors, together with holders of 5% or more of our common stock outstanding and their respective affiliates, beneficially own the majority of our common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120"/>
        <w:spacing w:after="0" w:line="255" w:lineRule="auto"/>
        <w:rPr>
          <w:sz w:val="20"/>
          <w:szCs w:val="20"/>
          <w:color w:val="auto"/>
        </w:rPr>
      </w:pPr>
      <w:r>
        <w:rPr>
          <w:rFonts w:ascii="Times New Roman" w:cs="Times New Roman" w:eastAsia="Times New Roman" w:hAnsi="Times New Roman"/>
          <w:sz w:val="18"/>
          <w:szCs w:val="18"/>
          <w:color w:val="auto"/>
        </w:rPr>
        <w:t>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or exchangeable for our common stock may depress our stock price.</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7, 2024, there were a total of 11,707,011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our operating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modification or termination of government contracts or grants, and the timing of payments we receive under these arrangements;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under these arrangements;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directors are elected at one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advance notice requirement for stockholder proposals and nominations;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preferred stock with such terms as our Board of Directors may determine;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left="1020" w:right="3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charter and other provisions of Delaware law could limit the price that investors are willing to pay in the future for shares of our common stock.</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4" w:name="page65"/>
    <w:bookmarkEnd w:id="64"/>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25, 2023, we submitted to the Listing Qualifications Department of Nasdaq an application to transfer the listing of our common stock from The Nasdaq Global Market to The Nasdaq Capital Market. On June 6, 2023, we received a notice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had no other immediate effect on the listing of our common stock.</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September 27, 2023, we implemented a reverse stock split of our shares of common stock, pursuant to which every fifteen (15) shares of our issued and outstanding common stock was automatically converted into one (1) issued and outstanding share of common stock without any change in the par value of $0.001 per share. The reverse stock split was approved by our stockholders on September 21, 2023 at our Special Meeting of stockholders.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0" w:type="dxa"/>
            <w:vAlign w:val="bottom"/>
          </w:tcPr>
          <w:p>
            <w:pPr>
              <w:spacing w:after="0"/>
              <w:rPr>
                <w:sz w:val="1"/>
                <w:szCs w:val="1"/>
                <w:color w:val="auto"/>
              </w:rPr>
            </w:pPr>
          </w:p>
        </w:tc>
      </w:tr>
      <w:tr>
        <w:trPr>
          <w:trHeight w:val="148"/>
        </w:trPr>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60" w:type="dxa"/>
            <w:vAlign w:val="bottom"/>
            <w:gridSpan w:val="10"/>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this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File/Reg.</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10"/>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5580" w:type="dxa"/>
            <w:vAlign w:val="bottom"/>
            <w:gridSpan w:val="13"/>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Certificate of Designation of Series A Junior Participating Preferred Stock of</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 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2/20/2024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Synlogic, Inc., as filed with the Secretary of State of the State of Delaware on</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February 20, 2024.</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4"/>
                <w:szCs w:val="24"/>
                <w:color w:val="auto"/>
              </w:rPr>
            </w:pPr>
          </w:p>
        </w:tc>
        <w:tc>
          <w:tcPr>
            <w:tcW w:w="5580" w:type="dxa"/>
            <w:vAlign w:val="bottom"/>
            <w:gridSpan w:val="13"/>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Rights Agreement, dated as of February 20, 2024, between Synlogic, Inc. and</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 8-K</w:t>
            </w:r>
          </w:p>
        </w:tc>
        <w:tc>
          <w:tcPr>
            <w:tcW w:w="11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8"/>
              </w:rPr>
              <w:t>2/20/2024</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001-37566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Equiniti Trust Company LLC, as rights agent.</w:t>
              </w:r>
            </w:hyperlink>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10.1</w:t>
            </w:r>
            <w:r>
              <w:rPr>
                <w:rFonts w:ascii="Times New Roman" w:cs="Times New Roman" w:eastAsia="Times New Roman" w:hAnsi="Times New Roman"/>
                <w:sz w:val="17"/>
                <w:szCs w:val="17"/>
                <w:color w:val="auto"/>
              </w:rPr>
              <w:t>†</w:t>
            </w: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Statement of Work dated May 3, 2024 pursuant to Master Contract Services</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Agreement between Synlogic, Inc. and Azzur Group (d/b/a Azzur of New England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LLC), SOW P-Cleanroom Offboarding CR3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15d-14(a).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tcBorders>
              <w:right w:val="single" w:sz="8" w:color="0000FF"/>
            </w:tcBorders>
            <w:gridSpan w:val="6"/>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6"/>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gridSpan w:val="10"/>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6"/>
            <w:shd w:val="clear" w:color="auto" w:fill="0000FF"/>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Interactive Date File because XBRL tags are embedded within the Inline XBRL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document.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558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686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2" w:lineRule="exact"/>
        <w:rPr>
          <w:sz w:val="20"/>
          <w:szCs w:val="20"/>
          <w:color w:val="auto"/>
        </w:rPr>
      </w:pPr>
    </w:p>
    <w:p>
      <w:pPr>
        <w:ind w:right="80" w:firstLine="8"/>
        <w:spacing w:after="0" w:line="275" w:lineRule="auto"/>
        <w:tabs>
          <w:tab w:leader="none" w:pos="22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7" w:name="page68"/>
    <w:bookmarkEnd w:id="6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3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SYNLOGIC, INC.</w:t>
      </w:r>
    </w:p>
    <w:p>
      <w:pPr>
        <w:spacing w:after="0" w:line="306"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26035</wp:posOffset>
            </wp:positionV>
            <wp:extent cx="24688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Antoine Awad</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6880"/>
        <w:spacing w:after="0"/>
        <w:tabs>
          <w:tab w:leader="none" w:pos="7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26035</wp:posOffset>
            </wp:positionV>
            <wp:extent cx="24688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Head of Finance</w:t>
      </w:r>
    </w:p>
    <w:p>
      <w:pPr>
        <w:spacing w:after="0" w:line="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p>
      <w:pPr>
        <w:spacing w:after="0" w:line="3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w:t>
      </w:r>
    </w:p>
    <w:p>
      <w:pPr>
        <w:spacing w:after="0" w:line="217" w:lineRule="exact"/>
        <w:rPr>
          <w:sz w:val="20"/>
          <w:szCs w:val="20"/>
          <w:color w:val="auto"/>
        </w:rPr>
      </w:pPr>
    </w:p>
    <w:p>
      <w:pPr>
        <w:ind w:right="260" w:firstLine="7"/>
        <w:spacing w:after="0" w:line="256" w:lineRule="auto"/>
        <w:tabs>
          <w:tab w:leader="none" w:pos="47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1864360</wp:posOffset>
            </wp:positionV>
            <wp:extent cx="2785745" cy="5911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278574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31"/>
          <w:szCs w:val="31"/>
          <w:color w:val="auto"/>
        </w:rPr>
        <w:t>Scope of Work P-</w:t>
      </w:r>
    </w:p>
    <w:p>
      <w:pPr>
        <w:spacing w:after="0" w:line="7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31"/>
          <w:szCs w:val="31"/>
          <w:color w:val="auto"/>
        </w:rPr>
        <w:t>Cleanroom Offboarding CR3</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color w:val="auto"/>
        </w:rPr>
        <w:t>Synlogic</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color w:val="auto"/>
        </w:rPr>
        <w:t>COD Waltham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251460</wp:posOffset>
            </wp:positionV>
            <wp:extent cx="1705610" cy="5746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17056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678180</wp:posOffset>
            </wp:positionV>
            <wp:extent cx="601726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017260" cy="42545"/>
                    </a:xfrm>
                    <a:prstGeom prst="rect">
                      <a:avLst/>
                    </a:prstGeom>
                    <a:noFill/>
                  </pic:spPr>
                </pic:pic>
              </a:graphicData>
            </a:graphic>
          </wp:anchor>
        </w:drawing>
      </w:r>
    </w:p>
    <w:p>
      <w:pPr>
        <w:sectPr>
          <w:pgSz w:w="11900" w:h="16838" w:orient="portrait"/>
          <w:cols w:equalWidth="0" w:num="1">
            <w:col w:w="9460"/>
          </w:cols>
          <w:pgMar w:left="1220" w:top="377" w:right="1219" w:bottom="1440" w:gutter="0" w:footer="0" w:header="0"/>
        </w:sectPr>
      </w:pPr>
    </w:p>
    <w:bookmarkStart w:id="69" w:name="page70"/>
    <w:bookmarkEnd w:id="69"/>
    <w:p>
      <w:pPr>
        <w:jc w:val="center"/>
        <w:ind w:right="1760"/>
        <w:spacing w:after="0"/>
        <w:rPr>
          <w:sz w:val="20"/>
          <w:szCs w:val="20"/>
          <w:color w:val="auto"/>
        </w:rPr>
      </w:pPr>
      <w:r>
        <w:rPr>
          <w:rFonts w:ascii="Times New Roman" w:cs="Times New Roman" w:eastAsia="Times New Roman" w:hAnsi="Times New Roman"/>
          <w:sz w:val="25"/>
          <w:szCs w:val="25"/>
          <w:color w:val="12559A"/>
        </w:rPr>
        <w:t>Azzur Cleanrooms on Demand Waltham – Synlogic</w:t>
      </w:r>
    </w:p>
    <w:p>
      <w:pPr>
        <w:spacing w:after="0" w:line="98"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25"/>
          <w:szCs w:val="25"/>
          <w:b w:val="1"/>
          <w:bCs w:val="1"/>
          <w:color w:val="12559A"/>
        </w:rPr>
        <w:t>CONFIDENTIAL</w:t>
      </w:r>
    </w:p>
    <w:p>
      <w:pPr>
        <w:spacing w:after="0" w:line="390" w:lineRule="exact"/>
        <w:rPr>
          <w:sz w:val="20"/>
          <w:szCs w:val="20"/>
          <w:color w:val="auto"/>
        </w:rPr>
      </w:pPr>
    </w:p>
    <w:p>
      <w:pPr>
        <w:ind w:left="620" w:hanging="328"/>
        <w:spacing w:after="0"/>
        <w:tabs>
          <w:tab w:leader="none" w:pos="6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Synlogic Clinical Offboarding</w:t>
      </w:r>
    </w:p>
    <w:p>
      <w:pPr>
        <w:spacing w:after="0" w:line="125" w:lineRule="exact"/>
        <w:rPr>
          <w:rFonts w:ascii="Times New Roman" w:cs="Times New Roman" w:eastAsia="Times New Roman" w:hAnsi="Times New Roman"/>
          <w:sz w:val="20"/>
          <w:szCs w:val="20"/>
          <w:b w:val="1"/>
          <w:bCs w:val="1"/>
          <w:color w:val="auto"/>
        </w:rPr>
      </w:pPr>
    </w:p>
    <w:p>
      <w:pPr>
        <w:ind w:left="6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Facility offboarding per SOW P-10558-01 will be priced based on the work both approved and agreed upon by both Synlogic and Azzur in Table 1.</w:t>
      </w:r>
    </w:p>
    <w:p>
      <w:pPr>
        <w:spacing w:after="0" w:line="51" w:lineRule="exact"/>
        <w:rPr>
          <w:rFonts w:ascii="Times New Roman" w:cs="Times New Roman" w:eastAsia="Times New Roman" w:hAnsi="Times New Roman"/>
          <w:sz w:val="20"/>
          <w:szCs w:val="20"/>
          <w:b w:val="1"/>
          <w:bCs w:val="1"/>
          <w:color w:val="auto"/>
        </w:rPr>
      </w:pPr>
    </w:p>
    <w:p>
      <w:pPr>
        <w:ind w:left="6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Please see table 1 below.</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Table 1: Overall Project Cost Estimate</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120" w:type="dxa"/>
            <w:vAlign w:val="bottom"/>
            <w:tcBorders>
              <w:right w:val="single" w:sz="8" w:color="auto"/>
            </w:tcBorders>
          </w:tcPr>
          <w:p>
            <w:pPr>
              <w:spacing w:after="0"/>
              <w:rPr>
                <w:sz w:val="22"/>
                <w:szCs w:val="22"/>
                <w:color w:val="auto"/>
              </w:rPr>
            </w:pPr>
          </w:p>
        </w:tc>
        <w:tc>
          <w:tcPr>
            <w:tcW w:w="2920" w:type="dxa"/>
            <w:vAlign w:val="bottom"/>
            <w:tcBorders>
              <w:top w:val="single" w:sz="8" w:color="auto"/>
              <w:bottom w:val="single" w:sz="8" w:color="auto"/>
              <w:right w:val="single" w:sz="8" w:color="4472C4"/>
            </w:tcBorders>
            <w:shd w:val="clear" w:color="auto" w:fill="4472C4"/>
          </w:tcPr>
          <w:p>
            <w:pPr>
              <w:spacing w:after="0"/>
              <w:rPr>
                <w:sz w:val="22"/>
                <w:szCs w:val="22"/>
                <w:color w:val="auto"/>
              </w:rPr>
            </w:pPr>
          </w:p>
        </w:tc>
        <w:tc>
          <w:tcPr>
            <w:tcW w:w="3900" w:type="dxa"/>
            <w:vAlign w:val="bottom"/>
            <w:tcBorders>
              <w:top w:val="single" w:sz="8" w:color="auto"/>
              <w:bottom w:val="single" w:sz="8" w:color="auto"/>
              <w:right w:val="single" w:sz="8" w:color="4472C4"/>
            </w:tcBorders>
            <w:gridSpan w:val="2"/>
            <w:shd w:val="clear" w:color="auto" w:fill="4472C4"/>
          </w:tcPr>
          <w:p>
            <w:pPr>
              <w:ind w:left="120"/>
              <w:spacing w:after="0"/>
              <w:rPr>
                <w:sz w:val="20"/>
                <w:szCs w:val="20"/>
                <w:color w:val="auto"/>
              </w:rPr>
            </w:pPr>
            <w:r>
              <w:rPr>
                <w:rFonts w:ascii="Times New Roman" w:cs="Times New Roman" w:eastAsia="Times New Roman" w:hAnsi="Times New Roman"/>
                <w:sz w:val="16"/>
                <w:szCs w:val="16"/>
                <w:b w:val="1"/>
                <w:bCs w:val="1"/>
                <w:color w:val="FFFFFF"/>
              </w:rPr>
              <w:t>Synlogic Clinical Offboarding</w:t>
            </w:r>
          </w:p>
        </w:tc>
        <w:tc>
          <w:tcPr>
            <w:tcW w:w="1420" w:type="dxa"/>
            <w:vAlign w:val="bottom"/>
            <w:tcBorders>
              <w:top w:val="single" w:sz="8" w:color="auto"/>
              <w:bottom w:val="single" w:sz="8" w:color="auto"/>
              <w:right w:val="single" w:sz="8" w:color="auto"/>
            </w:tcBorders>
            <w:shd w:val="clear" w:color="auto" w:fill="4472C4"/>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0" w:type="dxa"/>
            <w:vAlign w:val="bottom"/>
            <w:tcBorders>
              <w:right w:val="single" w:sz="8" w:color="auto"/>
            </w:tcBorders>
          </w:tcPr>
          <w:p>
            <w:pPr>
              <w:spacing w:after="0"/>
              <w:rPr>
                <w:sz w:val="20"/>
                <w:szCs w:val="20"/>
                <w:color w:val="auto"/>
              </w:rPr>
            </w:pPr>
          </w:p>
        </w:tc>
        <w:tc>
          <w:tcPr>
            <w:tcW w:w="2920" w:type="dxa"/>
            <w:vAlign w:val="bottom"/>
            <w:tcBorders>
              <w:bottom w:val="single" w:sz="8" w:color="D9E1F2"/>
              <w:right w:val="single" w:sz="8" w:color="auto"/>
            </w:tcBorders>
            <w:shd w:val="clear" w:color="auto" w:fill="D9E1F2"/>
          </w:tcPr>
          <w:p>
            <w:pPr>
              <w:ind w:left="1280"/>
              <w:spacing w:after="0"/>
              <w:rPr>
                <w:sz w:val="20"/>
                <w:szCs w:val="20"/>
                <w:color w:val="auto"/>
              </w:rPr>
            </w:pPr>
            <w:r>
              <w:rPr>
                <w:rFonts w:ascii="Times New Roman" w:cs="Times New Roman" w:eastAsia="Times New Roman" w:hAnsi="Times New Roman"/>
                <w:sz w:val="16"/>
                <w:szCs w:val="16"/>
                <w:b w:val="1"/>
                <w:bCs w:val="1"/>
                <w:color w:val="auto"/>
              </w:rPr>
              <w:t>Item</w:t>
            </w:r>
          </w:p>
        </w:tc>
        <w:tc>
          <w:tcPr>
            <w:tcW w:w="3900" w:type="dxa"/>
            <w:vAlign w:val="bottom"/>
            <w:tcBorders>
              <w:bottom w:val="single" w:sz="8" w:color="D9E1F2"/>
              <w:right w:val="single" w:sz="8" w:color="auto"/>
            </w:tcBorders>
            <w:gridSpan w:val="2"/>
            <w:shd w:val="clear" w:color="auto" w:fill="D9E1F2"/>
          </w:tcPr>
          <w:p>
            <w:pPr>
              <w:ind w:left="15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20" w:type="dxa"/>
            <w:vAlign w:val="bottom"/>
            <w:tcBorders>
              <w:bottom w:val="single" w:sz="8" w:color="D9E1F2"/>
              <w:right w:val="single" w:sz="8" w:color="auto"/>
            </w:tcBorders>
            <w:shd w:val="clear" w:color="auto" w:fill="D9E1F2"/>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9"/>
                <w:szCs w:val="19"/>
                <w:color w:val="auto"/>
              </w:rPr>
              <w:t>[***]</w:t>
            </w:r>
          </w:p>
        </w:tc>
        <w:tc>
          <w:tcPr>
            <w:tcW w:w="38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bottom w:val="single" w:sz="8" w:color="auto"/>
              <w:right w:val="single" w:sz="8" w:color="auto"/>
            </w:tcBorders>
          </w:tcPr>
          <w:p>
            <w:pPr>
              <w:spacing w:after="0"/>
              <w:rPr>
                <w:sz w:val="21"/>
                <w:szCs w:val="21"/>
                <w:color w:val="auto"/>
              </w:rPr>
            </w:pPr>
          </w:p>
        </w:tc>
        <w:tc>
          <w:tcPr>
            <w:tcW w:w="1420" w:type="dxa"/>
            <w:vAlign w:val="bottom"/>
            <w:tcBorders>
              <w:top w:val="single" w:sz="8" w:color="auto"/>
              <w:bottom w:val="single" w:sz="8" w:color="auto"/>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12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2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3.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12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9"/>
                <w:szCs w:val="19"/>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vMerge w:val="restart"/>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20" w:type="dxa"/>
            <w:vAlign w:val="bottom"/>
            <w:tcBorders>
              <w:right w:val="single" w:sz="8" w:color="auto"/>
            </w:tcBorders>
            <w:vMerge w:val="restart"/>
          </w:tcPr>
          <w:p>
            <w:pPr>
              <w:spacing w:after="0"/>
              <w:rPr>
                <w:sz w:val="10"/>
                <w:szCs w:val="10"/>
                <w:color w:val="auto"/>
              </w:rPr>
            </w:pPr>
          </w:p>
        </w:tc>
        <w:tc>
          <w:tcPr>
            <w:tcW w:w="2920" w:type="dxa"/>
            <w:vAlign w:val="bottom"/>
            <w:tcBorders>
              <w:right w:val="single" w:sz="8" w:color="auto"/>
            </w:tcBorders>
            <w:vMerge w:val="continue"/>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Borders>
              <w:right w:val="single" w:sz="8" w:color="auto"/>
            </w:tcBorders>
            <w:vMerge w:val="continue"/>
          </w:tcPr>
          <w:p>
            <w:pPr>
              <w:spacing w:after="0"/>
              <w:rPr>
                <w:sz w:val="9"/>
                <w:szCs w:val="9"/>
                <w:color w:val="auto"/>
              </w:rPr>
            </w:pPr>
          </w:p>
        </w:tc>
        <w:tc>
          <w:tcPr>
            <w:tcW w:w="2920" w:type="dxa"/>
            <w:vAlign w:val="bottom"/>
            <w:tcBorders>
              <w:right w:val="single" w:sz="8" w:color="auto"/>
            </w:tcBorders>
            <w:vMerge w:val="continue"/>
          </w:tcPr>
          <w:p>
            <w:pPr>
              <w:spacing w:after="0"/>
              <w:rPr>
                <w:sz w:val="9"/>
                <w:szCs w:val="9"/>
                <w:color w:val="auto"/>
              </w:rPr>
            </w:pPr>
          </w:p>
        </w:tc>
        <w:tc>
          <w:tcPr>
            <w:tcW w:w="38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tcPr>
          <w:p>
            <w:pPr>
              <w:spacing w:after="0"/>
              <w:rPr>
                <w:sz w:val="21"/>
                <w:szCs w:val="21"/>
                <w:color w:val="auto"/>
              </w:rPr>
            </w:pPr>
          </w:p>
        </w:tc>
        <w:tc>
          <w:tcPr>
            <w:tcW w:w="3840" w:type="dxa"/>
            <w:vAlign w:val="bottom"/>
            <w:vMerge w:val="continue"/>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20" w:type="dxa"/>
            <w:vAlign w:val="bottom"/>
            <w:tcBorders>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12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9"/>
                <w:szCs w:val="19"/>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7.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8.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right w:val="single" w:sz="8" w:color="auto"/>
            </w:tcBorders>
          </w:tcPr>
          <w:p>
            <w:pPr>
              <w:spacing w:after="0"/>
              <w:rPr>
                <w:sz w:val="21"/>
                <w:szCs w:val="21"/>
                <w:color w:val="auto"/>
              </w:rPr>
            </w:pPr>
          </w:p>
        </w:tc>
        <w:tc>
          <w:tcPr>
            <w:tcW w:w="2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9. </w:t>
            </w:r>
            <w:r>
              <w:rPr>
                <w:rFonts w:ascii="Times New Roman" w:cs="Times New Roman" w:eastAsia="Times New Roman" w:hAnsi="Times New Roman"/>
                <w:sz w:val="19"/>
                <w:szCs w:val="19"/>
                <w:color w:val="auto"/>
              </w:rPr>
              <w:t>[***]</w:t>
            </w:r>
          </w:p>
        </w:tc>
        <w:tc>
          <w:tcPr>
            <w:tcW w:w="3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jc w:val="right"/>
              <w:ind w:right="80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20" w:type="dxa"/>
            <w:vAlign w:val="bottom"/>
            <w:tcBorders>
              <w:right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20" w:type="dxa"/>
            <w:vAlign w:val="bottom"/>
            <w:tcBorders>
              <w:right w:val="single" w:sz="8" w:color="auto"/>
            </w:tcBorders>
          </w:tcPr>
          <w:p>
            <w:pPr>
              <w:spacing w:after="0"/>
              <w:rPr>
                <w:sz w:val="21"/>
                <w:szCs w:val="21"/>
                <w:color w:val="auto"/>
              </w:rPr>
            </w:pPr>
          </w:p>
        </w:tc>
        <w:tc>
          <w:tcPr>
            <w:tcW w:w="2920" w:type="dxa"/>
            <w:vAlign w:val="bottom"/>
            <w:tcBorders>
              <w:top w:val="single" w:sz="8" w:color="auto"/>
              <w:bottom w:val="single" w:sz="8" w:color="auto"/>
              <w:right w:val="single" w:sz="8" w:color="D9E1F2"/>
            </w:tcBorders>
            <w:shd w:val="clear" w:color="auto" w:fill="D9E1F2"/>
          </w:tcPr>
          <w:p>
            <w:pPr>
              <w:spacing w:after="0"/>
              <w:rPr>
                <w:sz w:val="21"/>
                <w:szCs w:val="21"/>
                <w:color w:val="auto"/>
              </w:rPr>
            </w:pPr>
          </w:p>
        </w:tc>
        <w:tc>
          <w:tcPr>
            <w:tcW w:w="3840" w:type="dxa"/>
            <w:vAlign w:val="bottom"/>
            <w:tcBorders>
              <w:top w:val="single" w:sz="8" w:color="auto"/>
              <w:bottom w:val="single" w:sz="8" w:color="auto"/>
            </w:tcBorders>
            <w:shd w:val="clear" w:color="auto" w:fill="D9E1F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1420" w:type="dxa"/>
            <w:vAlign w:val="bottom"/>
            <w:tcBorders>
              <w:top w:val="single" w:sz="8" w:color="D9E1F2"/>
              <w:bottom w:val="single" w:sz="8" w:color="auto"/>
              <w:right w:val="single" w:sz="8" w:color="auto"/>
            </w:tcBorders>
            <w:shd w:val="clear" w:color="auto" w:fill="D9E1F2"/>
          </w:tcPr>
          <w:p>
            <w:pPr>
              <w:jc w:val="right"/>
              <w:ind w:right="843"/>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8"/>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2.  Approvals</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0" w:type="dxa"/>
            <w:vAlign w:val="bottom"/>
          </w:tcPr>
          <w:p>
            <w:pPr>
              <w:spacing w:after="0"/>
              <w:rPr>
                <w:sz w:val="24"/>
                <w:szCs w:val="24"/>
                <w:color w:val="auto"/>
              </w:rPr>
            </w:pPr>
          </w:p>
        </w:tc>
        <w:tc>
          <w:tcPr>
            <w:tcW w:w="824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 xml:space="preserve">Upon execution of this Scope of Work, a PO in the amount of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will be required to finalize</w:t>
            </w:r>
          </w:p>
        </w:tc>
        <w:tc>
          <w:tcPr>
            <w:tcW w:w="38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89"/>
              </w:rPr>
              <w:t>the</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29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w:t>
            </w:r>
          </w:p>
        </w:tc>
        <w:tc>
          <w:tcPr>
            <w:tcW w:w="3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678180</wp:posOffset>
            </wp:positionV>
            <wp:extent cx="601726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017260" cy="42545"/>
                    </a:xfrm>
                    <a:prstGeom prst="rect">
                      <a:avLst/>
                    </a:prstGeom>
                    <a:noFill/>
                  </pic:spPr>
                </pic:pic>
              </a:graphicData>
            </a:graphic>
          </wp:anchor>
        </w:drawing>
      </w:r>
    </w:p>
    <w:p>
      <w:pPr>
        <w:sectPr>
          <w:pgSz w:w="11900" w:h="16838" w:orient="portrait"/>
          <w:cols w:equalWidth="0" w:num="1">
            <w:col w:w="9220"/>
          </w:cols>
          <w:pgMar w:left="1440" w:top="616" w:right="1239" w:bottom="1440" w:gutter="0" w:footer="0" w:header="0"/>
        </w:sectPr>
      </w:pPr>
    </w:p>
    <w:bookmarkStart w:id="70" w:name="page71"/>
    <w:bookmarkEnd w:id="70"/>
    <w:p>
      <w:pPr>
        <w:jc w:val="center"/>
        <w:ind w:right="1359"/>
        <w:spacing w:after="0"/>
        <w:rPr>
          <w:sz w:val="20"/>
          <w:szCs w:val="20"/>
          <w:color w:val="auto"/>
        </w:rPr>
      </w:pPr>
      <w:r>
        <w:rPr>
          <w:rFonts w:ascii="Times New Roman" w:cs="Times New Roman" w:eastAsia="Times New Roman" w:hAnsi="Times New Roman"/>
          <w:sz w:val="25"/>
          <w:szCs w:val="25"/>
          <w:color w:val="12559A"/>
        </w:rPr>
        <w:t>Azzur Cleanrooms on Demand Waltham – Synlogic</w:t>
      </w:r>
    </w:p>
    <w:p>
      <w:pPr>
        <w:spacing w:after="0" w:line="98" w:lineRule="exact"/>
        <w:rPr>
          <w:sz w:val="20"/>
          <w:szCs w:val="20"/>
          <w:color w:val="auto"/>
        </w:rPr>
      </w:pPr>
    </w:p>
    <w:p>
      <w:pPr>
        <w:jc w:val="center"/>
        <w:ind w:right="1379"/>
        <w:spacing w:after="0"/>
        <w:rPr>
          <w:sz w:val="20"/>
          <w:szCs w:val="20"/>
          <w:color w:val="auto"/>
        </w:rPr>
      </w:pPr>
      <w:r>
        <w:rPr>
          <w:rFonts w:ascii="Times New Roman" w:cs="Times New Roman" w:eastAsia="Times New Roman" w:hAnsi="Times New Roman"/>
          <w:sz w:val="25"/>
          <w:szCs w:val="25"/>
          <w:b w:val="1"/>
          <w:bCs w:val="1"/>
          <w:color w:val="12559A"/>
        </w:rPr>
        <w:t>CONFIDENTIAL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SOW AGREED TO AND ACCEPTED BY:</w:t>
      </w:r>
    </w:p>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AZZUR Cleanrooms on Demand, Waltham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Sarah Stevens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Sarah Stevens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President, Azzur Group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05/03/2024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Tony Awad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Tony Awad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Principal Executive Officer and COO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05/03/2024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678180</wp:posOffset>
            </wp:positionV>
            <wp:extent cx="601726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017260" cy="42545"/>
                    </a:xfrm>
                    <a:prstGeom prst="rect">
                      <a:avLst/>
                    </a:prstGeom>
                    <a:noFill/>
                  </pic:spPr>
                </pic:pic>
              </a:graphicData>
            </a:graphic>
          </wp:anchor>
        </w:drawing>
      </w:r>
    </w:p>
    <w:p>
      <w:pPr>
        <w:sectPr>
          <w:pgSz w:w="11900" w:h="16838" w:orient="portrait"/>
          <w:cols w:equalWidth="0" w:num="1">
            <w:col w:w="9239"/>
          </w:cols>
          <w:pgMar w:left="1220" w:top="616"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Antoine Awad,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Antoine Awad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Beth Dooley,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Synlogic,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Head of Finance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2024 as filed with the Securities and Exchange Commission on the date hereof (the “Report”), I, Antoine Awad, Principal Executive Officer of the Company, certify, pursuant to 18 U.S.C. Section 1350, as adopted pursuant to Section 906 of the Sarbanes-Oxley Act of 2002, to my knowledge that:</w:t>
      </w:r>
    </w:p>
    <w:p>
      <w:pPr>
        <w:spacing w:after="0" w:line="68"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ANTOINE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Antoine Awad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Synlogic, Inc. (the “Company”) on Form 10-Q for the period ended March 31, 2024 as filed with the Securities and Exchange Commission on the date hereof (the “Report”), I, Mary Beth Dooley, Head of Finance of the Company, certify, pursuant to 18 U.S.C. Section 1350, as adopted pursuant to Section 906 of the Sarbanes-Oxley Act of 2002, to my knowledge that:</w:t>
      </w:r>
    </w:p>
    <w:p>
      <w:pPr>
        <w:spacing w:after="0" w:line="6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BETH DOOLEY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Beth Dooley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Head of Finance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decimal"/>
      <w:start w:val="5"/>
    </w:lvl>
  </w:abstractNum>
  <w:abstractNum w:abstractNumId="8">
    <w:nsid w:val="22221A70"/>
    <w:multiLevelType w:val="hybridMultilevel"/>
    <w:lvl w:ilvl="0">
      <w:lvlJc w:val="left"/>
      <w:lvlText w:val="(%1)"/>
      <w:numFmt w:val="decimal"/>
      <w:start w:val="6"/>
    </w:lvl>
  </w:abstractNum>
  <w:abstractNum w:abstractNumId="9">
    <w:nsid w:val="4516DDE9"/>
    <w:multiLevelType w:val="hybridMultilevel"/>
    <w:lvl w:ilvl="0">
      <w:lvlJc w:val="left"/>
      <w:lvlText w:val="(%1)"/>
      <w:numFmt w:val="decimal"/>
      <w:start w:val="7"/>
    </w:lvl>
  </w:abstractNum>
  <w:abstractNum w:abstractNumId="10">
    <w:nsid w:val="3006C83E"/>
    <w:multiLevelType w:val="hybridMultilevel"/>
    <w:lvl w:ilvl="0">
      <w:lvlJc w:val="left"/>
      <w:lvlText w:val="(%1)"/>
      <w:numFmt w:val="decimal"/>
      <w:start w:val="8"/>
    </w:lvl>
  </w:abstractNum>
  <w:abstractNum w:abstractNumId="11">
    <w:nsid w:val="614FD4A1"/>
    <w:multiLevelType w:val="hybridMultilevel"/>
    <w:lvl w:ilvl="0">
      <w:lvlJc w:val="left"/>
      <w:lvlText w:val="(%1)"/>
      <w:numFmt w:val="decimal"/>
      <w:start w:val="9"/>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0"/>
    </w:lvl>
  </w:abstractNum>
  <w:abstractNum w:abstractNumId="14">
    <w:nsid w:val="440BADFC"/>
    <w:multiLevelType w:val="hybridMultilevel"/>
    <w:lvl w:ilvl="0">
      <w:lvlJc w:val="left"/>
      <w:lvlText w:val="(%1)"/>
      <w:numFmt w:val="decimal"/>
      <w:start w:val="11"/>
    </w:lvl>
  </w:abstractNum>
  <w:abstractNum w:abstractNumId="15">
    <w:nsid w:val="5072367"/>
    <w:multiLevelType w:val="hybridMultilevel"/>
    <w:lvl w:ilvl="0">
      <w:lvlJc w:val="left"/>
      <w:lvlText w:val="(%1)"/>
      <w:numFmt w:val="decimal"/>
      <w:start w:val="12"/>
    </w:lvl>
  </w:abstractNum>
  <w:abstractNum w:abstractNumId="16">
    <w:nsid w:val="3804823E"/>
    <w:multiLevelType w:val="hybridMultilevel"/>
    <w:lvl w:ilvl="0">
      <w:lvlJc w:val="left"/>
      <w:lvlText w:val="(%1)"/>
      <w:numFmt w:val="decimal"/>
      <w:start w:val="13"/>
    </w:lvl>
  </w:abstractNum>
  <w:abstractNum w:abstractNumId="17">
    <w:nsid w:val="77465F01"/>
    <w:multiLevelType w:val="hybridMultilevel"/>
    <w:lvl w:ilvl="0">
      <w:lvlJc w:val="left"/>
      <w:lvlText w:val="(%1)"/>
      <w:numFmt w:val="decimal"/>
      <w:start w:val="14"/>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jpeg"/><Relationship Id="rId237" Type="http://schemas.openxmlformats.org/officeDocument/2006/relationships/image" Target="media/image228.jpe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29" Type="http://schemas.openxmlformats.org/officeDocument/2006/relationships/hyperlink" Target="https://www.sec.gov/Archives/edgar/data/1527599/000119312524039969/d768289dex31.htm" TargetMode="External"/><Relationship Id="rId230" Type="http://schemas.openxmlformats.org/officeDocument/2006/relationships/hyperlink" Target="https://www.sec.gov/Archives/edgar/data/1527599/000119312524039969/d76828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2024-05-14T05:44:25Z</dcterms:created>
  <dcterms:modified xsi:type="dcterms:W3CDTF">2024-05-14T05:44:25Z</dcterms:modified>
</cp:coreProperties>
</file>