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right="220" w:hanging="499"/>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35"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2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200"/>
        </w:trPr>
        <w:tc>
          <w:tcPr>
            <w:tcW w:w="3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80"/>
        </w:trPr>
        <w:tc>
          <w:tcPr>
            <w:tcW w:w="7880" w:type="dxa"/>
            <w:vAlign w:val="bottom"/>
            <w:gridSpan w:val="6"/>
          </w:tcPr>
          <w:p>
            <w:pPr>
              <w:jc w:val="center"/>
              <w:ind w:right="2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2"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1" w:right="339" w:bottom="1440" w:gutter="0" w:footer="0" w:header="0"/>
        </w:sectPr>
      </w:pPr>
    </w:p>
    <w:p>
      <w:pPr>
        <w:spacing w:after="0" w:line="63"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Accelerated filer</w:t>
      </w:r>
    </w:p>
    <w:p>
      <w:pPr>
        <w:spacing w:after="0" w:line="73"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32" w:lineRule="exact"/>
        <w:rPr>
          <w:sz w:val="24"/>
          <w:szCs w:val="24"/>
          <w:color w:val="auto"/>
        </w:rPr>
      </w:pPr>
    </w:p>
    <w:p>
      <w:pPr>
        <w:ind w:left="7520"/>
        <w:spacing w:after="0"/>
        <w:rPr>
          <w:sz w:val="20"/>
          <w:szCs w:val="20"/>
          <w:color w:val="auto"/>
        </w:rPr>
      </w:pPr>
      <w:r>
        <w:rPr>
          <w:rFonts w:ascii="Arial" w:cs="Arial" w:eastAsia="Arial" w:hAnsi="Arial"/>
          <w:sz w:val="16"/>
          <w:szCs w:val="16"/>
          <w:color w:val="auto"/>
        </w:rPr>
        <w:t>Emerging growth company</w:t>
      </w:r>
    </w:p>
    <w:p>
      <w:pPr>
        <w:spacing w:after="0" w:line="126"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right="2080"/>
        <w:spacing w:after="0" w:line="28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2, 2023, there were 9,189,353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341"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98"/>
        </w:trPr>
        <w:tc>
          <w:tcPr>
            <w:tcW w:w="1060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6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Item 1. Financial Statements</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Arial" w:cs="Arial" w:eastAsia="Arial" w:hAnsi="Arial"/>
                <w:sz w:val="18"/>
                <w:szCs w:val="18"/>
                <w:color w:val="0000FF"/>
              </w:rPr>
              <w:t>Unaudited Consolidated Balance Sheets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Operations and Comprehensive Loss</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Stockholders’ Equity</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Cash Flows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4. Controls and Procedures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1. 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1A. 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3. Defaults Upon Senior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4. Mine Safety Disclosures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5. 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581"/>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7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8,879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61,768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79,782</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Right of use asset - operating lease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Prepaid research and development, net of current portion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Lease liability - operating lease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obligations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Lease liability - operating lease, net of current portion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obligations, net of current portion</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8"/>
                <w:szCs w:val="18"/>
                <w:color w:val="auto"/>
              </w:rPr>
              <w:t>250,000,000 shares authorized as of September 30, 2023 and December 31, 2022,</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4,878,089 shares issued and 4,598,297 shares outstanding as of September 30, 2023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4,728,874 shares issued and 4,449,082 shares outstanding as of December 31, 2022</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445,679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442,303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(161 )</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(399,767 )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(357,019 )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Treasury stock, at cost (279,792 shares at September 30, 2023 and at December 31, 2022)</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(2,518 )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(2,518 )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43,404</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-4868545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-3933825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-2665095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-2031365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58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For the Nine Months Ended</w:t>
            </w:r>
          </w:p>
        </w:tc>
      </w:tr>
      <w:tr>
        <w:trPr>
          <w:trHeight w:val="169"/>
        </w:trPr>
        <w:tc>
          <w:tcPr>
            <w:tcW w:w="5160" w:type="dxa"/>
            <w:vAlign w:val="bottom"/>
          </w:tcPr>
          <w:p>
            <w:pPr>
              <w:spacing w:after="0"/>
              <w:rPr>
                <w:sz w:val="14"/>
                <w:szCs w:val="14"/>
                <w:color w:val="auto"/>
              </w:rPr>
            </w:pPr>
          </w:p>
        </w:tc>
        <w:tc>
          <w:tcPr>
            <w:tcW w:w="156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3"/>
              </w:rPr>
              <w:t>September 30, 2023</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2022</w:t>
            </w:r>
          </w:p>
        </w:tc>
        <w:tc>
          <w:tcPr>
            <w:tcW w:w="340" w:type="dxa"/>
            <w:vAlign w:val="bottom"/>
          </w:tcPr>
          <w:p>
            <w:pPr>
              <w:spacing w:after="0"/>
              <w:rPr>
                <w:sz w:val="14"/>
                <w:szCs w:val="14"/>
                <w:color w:val="auto"/>
              </w:rPr>
            </w:pPr>
          </w:p>
        </w:tc>
        <w:tc>
          <w:tcPr>
            <w:tcW w:w="15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Pr>
          <w:p>
            <w:pPr>
              <w:spacing w:after="0"/>
              <w:rPr>
                <w:sz w:val="14"/>
                <w:szCs w:val="14"/>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20"/>
                <w:szCs w:val="20"/>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38,405</w:t>
            </w: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0"/>
                <w:szCs w:val="20"/>
                <w:color w:val="auto"/>
              </w:rPr>
            </w:pPr>
          </w:p>
        </w:tc>
      </w:tr>
      <w:tr>
        <w:trPr>
          <w:trHeight w:val="23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13,016</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19,012</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(12,623 )</w:t>
            </w:r>
          </w:p>
        </w:tc>
        <w:tc>
          <w:tcPr>
            <w:tcW w:w="340" w:type="dxa"/>
            <w:vAlign w:val="bottom"/>
          </w:tcPr>
          <w:p>
            <w:pPr>
              <w:spacing w:after="0"/>
              <w:rPr>
                <w:sz w:val="20"/>
                <w:szCs w:val="20"/>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(18,334 )</w:t>
            </w:r>
          </w:p>
        </w:tc>
        <w:tc>
          <w:tcPr>
            <w:tcW w:w="30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(44,520 )</w:t>
            </w: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(50,116 )</w:t>
            </w: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Interest and investment income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(9 )</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3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(12,075 )</w:t>
            </w:r>
          </w:p>
        </w:tc>
        <w:tc>
          <w:tcPr>
            <w:tcW w:w="340" w:type="dxa"/>
            <w:vAlign w:val="bottom"/>
          </w:tcPr>
          <w:p>
            <w:pPr>
              <w:spacing w:after="0"/>
              <w:rPr>
                <w:sz w:val="20"/>
                <w:szCs w:val="20"/>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(17,912 )</w:t>
            </w:r>
          </w:p>
        </w:tc>
        <w:tc>
          <w:tcPr>
            <w:tcW w:w="30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(42,736 )</w:t>
            </w: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(49,451 )</w:t>
            </w: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(3 )</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(12 )</w:t>
            </w: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(12,078 )</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(17,912 )</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(42,748 )</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(49,451 )</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spacing w:after="0"/>
              <w:rPr>
                <w:sz w:val="19"/>
                <w:szCs w:val="19"/>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(2.57 )</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(3.73 )</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(9.17 )</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(10.29 )</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5"/>
              </w:rPr>
              <w:t>Weighted-average common stock outstanding - basic and diluted</w:t>
            </w:r>
          </w:p>
        </w:tc>
        <w:tc>
          <w:tcPr>
            <w:tcW w:w="3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4,699,847</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4,807,207</w:t>
            </w:r>
          </w:p>
        </w:tc>
        <w:tc>
          <w:tcPr>
            <w:tcW w:w="3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4,662,444</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4,804,127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(12,078 )</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(17,912 )</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(42,748 )</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(49,451 )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(346 )</w:t>
            </w:r>
          </w:p>
        </w:tc>
      </w:tr>
      <w:tr>
        <w:trPr>
          <w:trHeight w:val="277"/>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(17,870</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-2605405</wp:posOffset>
            </wp:positionV>
            <wp:extent cx="7683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-2605405</wp:posOffset>
            </wp:positionV>
            <wp:extent cx="768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-2605405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-1662430</wp:posOffset>
            </wp:positionV>
            <wp:extent cx="768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-1662430</wp:posOffset>
            </wp:positionV>
            <wp:extent cx="768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-1662430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-676275</wp:posOffset>
            </wp:positionV>
            <wp:extent cx="30429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42920" cy="17970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4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1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1840" w:type="dxa"/>
            <w:vAlign w:val="bottom"/>
            <w:gridSpan w:val="6"/>
            <w:vMerge w:val="restart"/>
          </w:tcPr>
          <w:p>
            <w:pPr>
              <w:jc w:val="right"/>
              <w:ind w:right="568"/>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6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$0.001 par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840" w:type="dxa"/>
            <w:vAlign w:val="bottom"/>
            <w:gridSpan w:val="6"/>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gridSpan w:val="12"/>
          </w:tcPr>
          <w:p>
            <w:pPr>
              <w:jc w:val="center"/>
              <w:ind w:right="259"/>
              <w:spacing w:after="0"/>
              <w:rPr>
                <w:sz w:val="20"/>
                <w:szCs w:val="20"/>
                <w:color w:val="auto"/>
              </w:rPr>
            </w:pPr>
            <w:r>
              <w:rPr>
                <w:rFonts w:ascii="Arial" w:cs="Arial" w:eastAsia="Arial" w:hAnsi="Arial"/>
                <w:sz w:val="14"/>
                <w:szCs w:val="14"/>
                <w:b w:val="1"/>
                <w:bCs w:val="1"/>
                <w:color w:val="auto"/>
                <w:w w:val="93"/>
              </w:rPr>
              <w:t>For the Three Months Ended September 30, 2023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2023</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4,854,048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444,974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(387,689 )</w:t>
            </w: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(279,792 ) $</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(2,518 ) $</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20"/>
              <w:spacing w:after="0" w:line="143" w:lineRule="exact"/>
              <w:rPr>
                <w:sz w:val="20"/>
                <w:szCs w:val="20"/>
                <w:color w:val="auto"/>
              </w:rPr>
            </w:pPr>
            <w:r>
              <w:rPr>
                <w:rFonts w:ascii="Arial" w:cs="Arial" w:eastAsia="Arial" w:hAnsi="Arial"/>
                <w:sz w:val="14"/>
                <w:szCs w:val="14"/>
                <w:color w:val="auto"/>
                <w:w w:val="94"/>
              </w:rPr>
              <w:t>Issuance of common stock under employee stock purchase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20" w:type="dxa"/>
            <w:vAlign w:val="bottom"/>
          </w:tcPr>
          <w:p>
            <w:pPr>
              <w:ind w:left="20"/>
              <w:spacing w:after="0"/>
              <w:rPr>
                <w:sz w:val="20"/>
                <w:szCs w:val="20"/>
                <w:color w:val="auto"/>
              </w:rPr>
            </w:pPr>
            <w:r>
              <w:rPr>
                <w:rFonts w:ascii="Arial" w:cs="Arial" w:eastAsia="Arial" w:hAnsi="Arial"/>
                <w:sz w:val="14"/>
                <w:szCs w:val="14"/>
                <w:color w:val="auto"/>
              </w:rPr>
              <w:t>plan</w:t>
            </w:r>
          </w:p>
        </w:tc>
        <w:tc>
          <w:tcPr>
            <w:tcW w:w="800" w:type="dxa"/>
            <w:vAlign w:val="bottom"/>
          </w:tcPr>
          <w:p>
            <w:pPr>
              <w:jc w:val="right"/>
              <w:spacing w:after="0"/>
              <w:rPr>
                <w:sz w:val="20"/>
                <w:szCs w:val="20"/>
                <w:color w:val="auto"/>
              </w:rPr>
            </w:pPr>
            <w:r>
              <w:rPr>
                <w:rFonts w:ascii="Arial" w:cs="Arial" w:eastAsia="Arial" w:hAnsi="Arial"/>
                <w:sz w:val="14"/>
                <w:szCs w:val="14"/>
                <w:color w:val="auto"/>
              </w:rPr>
              <w:t>27,156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Cancellation of restricted stock</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(3,008 )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Reverse Split: fractional share adjustment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(12,078 )</w:t>
            </w: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(12,078 )</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800" w:type="dxa"/>
            <w:vAlign w:val="bottom"/>
          </w:tcPr>
          <w:p>
            <w:pPr>
              <w:jc w:val="right"/>
              <w:spacing w:after="0"/>
              <w:rPr>
                <w:sz w:val="20"/>
                <w:szCs w:val="20"/>
                <w:color w:val="auto"/>
              </w:rPr>
            </w:pPr>
            <w:r>
              <w:rPr>
                <w:rFonts w:ascii="Arial" w:cs="Arial" w:eastAsia="Arial" w:hAnsi="Arial"/>
                <w:sz w:val="14"/>
                <w:szCs w:val="14"/>
                <w:color w:val="auto"/>
              </w:rPr>
              <w:t>4,878,089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445,679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(399,767 ) $</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(279,792 ) $</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(2,518 ) $</w:t>
            </w:r>
          </w:p>
        </w:tc>
        <w:tc>
          <w:tcPr>
            <w:tcW w:w="580" w:type="dxa"/>
            <w:vAlign w:val="bottom"/>
          </w:tcPr>
          <w:p>
            <w:pPr>
              <w:jc w:val="right"/>
              <w:spacing w:after="0"/>
              <w:rPr>
                <w:sz w:val="20"/>
                <w:szCs w:val="20"/>
                <w:color w:val="auto"/>
              </w:rPr>
            </w:pPr>
            <w:r>
              <w:rPr>
                <w:rFonts w:ascii="Arial" w:cs="Arial" w:eastAsia="Arial" w:hAnsi="Arial"/>
                <w:sz w:val="14"/>
                <w:szCs w:val="14"/>
                <w:color w:val="auto"/>
              </w:rPr>
              <w:t>43,404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20" w:type="dxa"/>
            <w:vAlign w:val="bottom"/>
            <w:gridSpan w:val="12"/>
            <w:shd w:val="clear" w:color="auto" w:fill="CCEEFF"/>
          </w:tcPr>
          <w:p>
            <w:pPr>
              <w:jc w:val="center"/>
              <w:ind w:right="259"/>
              <w:spacing w:after="0" w:line="156" w:lineRule="exact"/>
              <w:rPr>
                <w:sz w:val="20"/>
                <w:szCs w:val="20"/>
                <w:color w:val="auto"/>
              </w:rPr>
            </w:pPr>
            <w:r>
              <w:rPr>
                <w:rFonts w:ascii="Arial" w:cs="Arial" w:eastAsia="Arial" w:hAnsi="Arial"/>
                <w:sz w:val="14"/>
                <w:szCs w:val="14"/>
                <w:b w:val="1"/>
                <w:bCs w:val="1"/>
                <w:color w:val="auto"/>
                <w:w w:val="93"/>
              </w:rPr>
              <w:t>For the Three Months Ended September 30, 2022</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800" w:type="dxa"/>
            <w:vAlign w:val="bottom"/>
          </w:tcPr>
          <w:p>
            <w:pPr>
              <w:jc w:val="right"/>
              <w:spacing w:after="0"/>
              <w:rPr>
                <w:sz w:val="20"/>
                <w:szCs w:val="20"/>
                <w:color w:val="auto"/>
              </w:rPr>
            </w:pPr>
            <w:r>
              <w:rPr>
                <w:rFonts w:ascii="Arial" w:cs="Arial" w:eastAsia="Arial" w:hAnsi="Arial"/>
                <w:sz w:val="14"/>
                <w:szCs w:val="14"/>
                <w:color w:val="auto"/>
              </w:rPr>
              <w:t>4,682,014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440,189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(433 )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(322,411 )</w:t>
            </w: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117,350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5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4"/>
              </w:rPr>
              <w:t>Issuance of common stock under employee stock purchase</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Cancellation of restricted stock</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(725 )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(17,912 )</w:t>
            </w:r>
          </w:p>
        </w:tc>
        <w:tc>
          <w:tcPr>
            <w:tcW w:w="14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(17,912 )</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800" w:type="dxa"/>
            <w:vAlign w:val="bottom"/>
          </w:tcPr>
          <w:p>
            <w:pPr>
              <w:jc w:val="right"/>
              <w:spacing w:after="0"/>
              <w:rPr>
                <w:sz w:val="20"/>
                <w:szCs w:val="20"/>
                <w:color w:val="auto"/>
              </w:rPr>
            </w:pPr>
            <w:r>
              <w:rPr>
                <w:rFonts w:ascii="Arial" w:cs="Arial" w:eastAsia="Arial" w:hAnsi="Arial"/>
                <w:sz w:val="14"/>
                <w:szCs w:val="14"/>
                <w:color w:val="auto"/>
              </w:rPr>
              <w:t>4,685,698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441,137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(391 )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(340,323 )</w:t>
            </w:r>
          </w:p>
        </w:tc>
        <w:tc>
          <w:tcPr>
            <w:tcW w:w="1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100,428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FF0FC"/>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For</w:t>
            </w:r>
          </w:p>
        </w:tc>
        <w:tc>
          <w:tcPr>
            <w:tcW w:w="3480" w:type="dxa"/>
            <w:vAlign w:val="bottom"/>
            <w:gridSpan w:val="11"/>
            <w:shd w:val="clear" w:color="auto" w:fill="CCEEFF"/>
          </w:tcPr>
          <w:p>
            <w:pPr>
              <w:jc w:val="right"/>
              <w:ind w:right="719"/>
              <w:spacing w:after="0" w:line="156" w:lineRule="exact"/>
              <w:rPr>
                <w:sz w:val="20"/>
                <w:szCs w:val="20"/>
                <w:color w:val="auto"/>
              </w:rPr>
            </w:pPr>
            <w:r>
              <w:rPr>
                <w:rFonts w:ascii="Arial" w:cs="Arial" w:eastAsia="Arial" w:hAnsi="Arial"/>
                <w:sz w:val="14"/>
                <w:szCs w:val="14"/>
                <w:b w:val="1"/>
                <w:bCs w:val="1"/>
                <w:color w:val="auto"/>
                <w:w w:val="91"/>
              </w:rPr>
              <w:t>the Nine Months Ended September 30, 2023</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800" w:type="dxa"/>
            <w:vAlign w:val="bottom"/>
          </w:tcPr>
          <w:p>
            <w:pPr>
              <w:jc w:val="right"/>
              <w:spacing w:after="0"/>
              <w:rPr>
                <w:sz w:val="20"/>
                <w:szCs w:val="20"/>
                <w:color w:val="auto"/>
              </w:rPr>
            </w:pPr>
            <w:r>
              <w:rPr>
                <w:rFonts w:ascii="Arial" w:cs="Arial" w:eastAsia="Arial" w:hAnsi="Arial"/>
                <w:sz w:val="14"/>
                <w:szCs w:val="14"/>
                <w:color w:val="auto"/>
              </w:rPr>
              <w:t>4,728,874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442,303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(161 )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(357,019 )</w:t>
            </w:r>
          </w:p>
        </w:tc>
        <w:tc>
          <w:tcPr>
            <w:tcW w:w="1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(279,792 ) $</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(2,518 ) $</w:t>
            </w:r>
          </w:p>
        </w:tc>
        <w:tc>
          <w:tcPr>
            <w:tcW w:w="580" w:type="dxa"/>
            <w:vAlign w:val="bottom"/>
          </w:tcPr>
          <w:p>
            <w:pPr>
              <w:jc w:val="right"/>
              <w:spacing w:after="0"/>
              <w:rPr>
                <w:sz w:val="20"/>
                <w:szCs w:val="20"/>
                <w:color w:val="auto"/>
              </w:rPr>
            </w:pPr>
            <w:r>
              <w:rPr>
                <w:rFonts w:ascii="Arial" w:cs="Arial" w:eastAsia="Arial" w:hAnsi="Arial"/>
                <w:sz w:val="14"/>
                <w:szCs w:val="14"/>
                <w:color w:val="auto"/>
              </w:rPr>
              <w:t>82,610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Proceeds from issuance of common stock in connection</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with at-the-market offering, net of issuance costs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115,966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10,814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4"/>
              </w:rPr>
              <w:t>Issuance of common stock under employee stock purchase</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34,489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Cancellation of restricted stock</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(11,947 )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Reverse Split: fractional share adjustment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(107 )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Equity-based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(loss) on securities</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(42,748 )</w:t>
            </w:r>
          </w:p>
        </w:tc>
        <w:tc>
          <w:tcPr>
            <w:tcW w:w="140" w:type="dxa"/>
            <w:vAlign w:val="bottom"/>
          </w:tcPr>
          <w:p>
            <w:pPr>
              <w:spacing w:after="0"/>
              <w:rPr>
                <w:sz w:val="15"/>
                <w:szCs w:val="15"/>
                <w:color w:val="auto"/>
              </w:rPr>
            </w:pP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(42,748 )</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September 30, 2023</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4,878,089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445,679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(399,767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(279,792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gridSpan w:val="12"/>
          </w:tcPr>
          <w:p>
            <w:pPr>
              <w:jc w:val="center"/>
              <w:ind w:right="259"/>
              <w:spacing w:after="0" w:line="156" w:lineRule="exact"/>
              <w:rPr>
                <w:sz w:val="20"/>
                <w:szCs w:val="20"/>
                <w:color w:val="auto"/>
              </w:rPr>
            </w:pPr>
            <w:r>
              <w:rPr>
                <w:rFonts w:ascii="Arial" w:cs="Arial" w:eastAsia="Arial" w:hAnsi="Arial"/>
                <w:sz w:val="14"/>
                <w:szCs w:val="14"/>
                <w:b w:val="1"/>
                <w:bCs w:val="1"/>
                <w:color w:val="auto"/>
                <w:w w:val="93"/>
              </w:rPr>
              <w:t>For the Nine Months Ended September 30, 2022</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4,646,590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438,178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(45 )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(290,872 )</w:t>
            </w:r>
          </w:p>
        </w:tc>
        <w:tc>
          <w:tcPr>
            <w:tcW w:w="14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2,370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restricted stock</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33,817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20" w:type="dxa"/>
            <w:vAlign w:val="bottom"/>
          </w:tcPr>
          <w:p>
            <w:pPr>
              <w:ind w:left="20"/>
              <w:spacing w:after="0" w:line="143" w:lineRule="exact"/>
              <w:rPr>
                <w:sz w:val="20"/>
                <w:szCs w:val="20"/>
                <w:color w:val="auto"/>
              </w:rPr>
            </w:pPr>
            <w:r>
              <w:rPr>
                <w:rFonts w:ascii="Arial" w:cs="Arial" w:eastAsia="Arial" w:hAnsi="Arial"/>
                <w:sz w:val="14"/>
                <w:szCs w:val="14"/>
                <w:color w:val="auto"/>
                <w:w w:val="94"/>
              </w:rPr>
              <w:t>Issuance of common stock under employee stock purchase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20" w:type="dxa"/>
            <w:vAlign w:val="bottom"/>
          </w:tcPr>
          <w:p>
            <w:pPr>
              <w:ind w:left="20"/>
              <w:spacing w:after="0"/>
              <w:rPr>
                <w:sz w:val="20"/>
                <w:szCs w:val="20"/>
                <w:color w:val="auto"/>
              </w:rPr>
            </w:pPr>
            <w:r>
              <w:rPr>
                <w:rFonts w:ascii="Arial" w:cs="Arial" w:eastAsia="Arial" w:hAnsi="Arial"/>
                <w:sz w:val="14"/>
                <w:szCs w:val="14"/>
                <w:color w:val="auto"/>
              </w:rPr>
              <w:t>plan</w:t>
            </w:r>
          </w:p>
        </w:tc>
        <w:tc>
          <w:tcPr>
            <w:tcW w:w="800" w:type="dxa"/>
            <w:vAlign w:val="bottom"/>
          </w:tcPr>
          <w:p>
            <w:pPr>
              <w:jc w:val="right"/>
              <w:spacing w:after="0"/>
              <w:rPr>
                <w:sz w:val="20"/>
                <w:szCs w:val="20"/>
                <w:color w:val="auto"/>
              </w:rPr>
            </w:pPr>
            <w:r>
              <w:rPr>
                <w:rFonts w:ascii="Arial" w:cs="Arial" w:eastAsia="Arial" w:hAnsi="Arial"/>
                <w:sz w:val="14"/>
                <w:szCs w:val="14"/>
                <w:color w:val="auto"/>
              </w:rPr>
              <w:t>7,108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Cancellation of restricted stock</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(4,187 )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Arial" w:cs="Arial" w:eastAsia="Arial" w:hAnsi="Arial"/>
                <w:sz w:val="14"/>
                <w:szCs w:val="14"/>
                <w:color w:val="auto"/>
              </w:rPr>
              <w:t>Equity-based compensation expense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 (loss) on securities</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(346 )</w:t>
            </w:r>
          </w:p>
        </w:tc>
        <w:tc>
          <w:tcPr>
            <w:tcW w:w="80" w:type="dxa"/>
            <w:vAlign w:val="bottom"/>
            <w:shd w:val="clear" w:color="auto" w:fill="CFF0FC"/>
          </w:tcPr>
          <w:p>
            <w:pPr>
              <w:spacing w:after="0"/>
              <w:rPr>
                <w:sz w:val="15"/>
                <w:szCs w:val="15"/>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FF0FC"/>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(346 )</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(49,451 )</w:t>
            </w:r>
          </w:p>
        </w:tc>
        <w:tc>
          <w:tcPr>
            <w:tcW w:w="140" w:type="dxa"/>
            <w:vAlign w:val="bottom"/>
          </w:tcPr>
          <w:p>
            <w:pPr>
              <w:spacing w:after="0"/>
              <w:rPr>
                <w:sz w:val="15"/>
                <w:szCs w:val="15"/>
                <w:color w:val="auto"/>
              </w:rPr>
            </w:pPr>
          </w:p>
        </w:tc>
        <w:tc>
          <w:tcPr>
            <w:tcW w:w="88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(49,451 )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September 30, 2022</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4,685,698</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441,137</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(391 )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(340,323 )</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-4028440</wp:posOffset>
            </wp:positionV>
            <wp:extent cx="768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-4028440</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-4028440</wp:posOffset>
            </wp:positionV>
            <wp:extent cx="774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-4028440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-4028440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-4028440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-4028440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-2965450</wp:posOffset>
            </wp:positionV>
            <wp:extent cx="7683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-2965450</wp:posOffset>
            </wp:positionV>
            <wp:extent cx="7747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-2965450</wp:posOffset>
            </wp:positionV>
            <wp:extent cx="7747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-2965450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-2965450</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-2965450</wp:posOffset>
            </wp:positionV>
            <wp:extent cx="685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-2965450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-1353820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-1336675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-1353820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-1336675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-1353820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-1336675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-1353820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-1336675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-1353820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-1336675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-1353820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-1353820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-1336675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-24765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30"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22225</wp:posOffset>
            </wp:positionV>
            <wp:extent cx="11226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September 30, 2023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22225</wp:posOffset>
            </wp:positionV>
            <wp:extent cx="10541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2022</w:t>
      </w:r>
    </w:p>
    <w:p>
      <w:pPr>
        <w:spacing w:after="0" w:line="35" w:lineRule="exact"/>
        <w:rPr>
          <w:sz w:val="20"/>
          <w:szCs w:val="20"/>
          <w:color w:val="auto"/>
        </w:rPr>
      </w:pPr>
    </w:p>
    <w:p>
      <w:pPr>
        <w:sectPr>
          <w:pgSz w:w="11900" w:h="16838" w:orient="portrait"/>
          <w:cols w:equalWidth="0" w:num="2">
            <w:col w:w="8960" w:space="720"/>
            <w:col w:w="15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(42,748 )</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(49,451 )</w:t>
            </w: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1,555</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disposal of property and equipment</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(11 )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Accretion/amortization of investment securities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(512 )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(364 )</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Change in carrying amount of operating lease right of use asset</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20"/>
                <w:szCs w:val="20"/>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(1,500 )</w:t>
            </w:r>
          </w:p>
        </w:tc>
      </w:tr>
      <w:tr>
        <w:trPr>
          <w:trHeight w:val="249"/>
        </w:trPr>
        <w:tc>
          <w:tcPr>
            <w:tcW w:w="74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(2,212 )</w:t>
            </w: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Prepaid research and development, net of current portion</w:t>
            </w:r>
          </w:p>
        </w:tc>
        <w:tc>
          <w:tcPr>
            <w:tcW w:w="660" w:type="dxa"/>
            <w:vAlign w:val="bottom"/>
          </w:tcPr>
          <w:p>
            <w:pPr>
              <w:spacing w:after="0"/>
              <w:rPr>
                <w:sz w:val="20"/>
                <w:szCs w:val="20"/>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(286 )</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(2,688 )</w:t>
            </w: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20"/>
                <w:szCs w:val="20"/>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(618 )</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Operating lease liabilities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(3,030 )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(2,932 )</w:t>
            </w:r>
          </w:p>
        </w:tc>
      </w:tr>
      <w:tr>
        <w:trPr>
          <w:trHeight w:val="237"/>
        </w:trPr>
        <w:tc>
          <w:tcPr>
            <w:tcW w:w="740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20"/>
                <w:szCs w:val="20"/>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(8 )</w:t>
            </w:r>
          </w:p>
        </w:tc>
        <w:tc>
          <w:tcPr>
            <w:tcW w:w="5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(46,086</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marketable securities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(8,831 )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(66,191 )</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Proceeds from maturity of marketable securities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62,398</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110,366</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(186 )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(685 )</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53,397</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finance lease obligations</w:t>
            </w:r>
          </w:p>
        </w:tc>
        <w:tc>
          <w:tcPr>
            <w:tcW w:w="6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(9 )</w:t>
            </w:r>
          </w:p>
        </w:tc>
        <w:tc>
          <w:tcPr>
            <w:tcW w:w="5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15"/>
        </w:trPr>
        <w:tc>
          <w:tcPr>
            <w:tcW w:w="74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in connection with at-the-market offering, net of</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issuance costs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6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8,675</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16,958</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100" w:type="dxa"/>
            <w:vAlign w:val="bottom"/>
          </w:tcPr>
          <w:p>
            <w:pPr>
              <w:spacing w:after="0"/>
              <w:rPr>
                <w:sz w:val="20"/>
                <w:szCs w:val="20"/>
                <w:color w:val="auto"/>
              </w:rPr>
            </w:pPr>
          </w:p>
        </w:tc>
      </w:tr>
      <w:tr>
        <w:trPr>
          <w:trHeight w:val="27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25,633</w:t>
            </w:r>
          </w:p>
        </w:tc>
        <w:tc>
          <w:tcPr>
            <w:tcW w:w="3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6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Assets acquired under operating lease obligation</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940</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costs included in accounts payable and accrued expenses</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-3608070</wp:posOffset>
            </wp:positionV>
            <wp:extent cx="7747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-2665095</wp:posOffset>
            </wp:positionV>
            <wp:extent cx="7747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-1902460</wp:posOffset>
            </wp:positionV>
            <wp:extent cx="7747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-1259840</wp:posOffset>
            </wp:positionV>
            <wp:extent cx="131127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11275" cy="1803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Synlogic, Inc., together with its wholly owned and consolidated subsidiaries (Synlogic or the Company), is a late-stage biopharmaceutical company advancing novel, orally-administered, non-systemically absorbed therapeutics for serious diseases based on the Company's Synthetic Biotic product platform.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 xml:space="preserve">At September 30, 2023, the Company had approximately $33.4 million in cash and cash equivalents, $1.1 million of restricted cash and an accumulated deficit of approximately $399.8 million. Since its inception through September 30, 2023, the Company has primarily financed its operations through the issuance of preferred stock, units and warrants, the sale of its common stock, and collaborations, including with Roche. In the absence of positive cash flows from operations, the Company is highly dependent on its ability to find additional sources of funding in the form of debt or equity financing. Inclusive of the net cash proceeds received in October 2023 from the sale of the Company's common stock, as further described in Note 14, </w:t>
      </w:r>
      <w:r>
        <w:rPr>
          <w:rFonts w:ascii="Arial" w:cs="Arial" w:eastAsia="Arial" w:hAnsi="Arial"/>
          <w:sz w:val="17"/>
          <w:szCs w:val="17"/>
          <w:i w:val="1"/>
          <w:iCs w:val="1"/>
          <w:color w:val="auto"/>
        </w:rPr>
        <w:t>Subsequent Events</w:t>
      </w:r>
      <w:r>
        <w:rPr>
          <w:rFonts w:ascii="Arial" w:cs="Arial" w:eastAsia="Arial" w:hAnsi="Arial"/>
          <w:sz w:val="17"/>
          <w:szCs w:val="17"/>
          <w:color w:val="auto"/>
        </w:rPr>
        <w:t>, management believes that the Company has sufficient cash and other sources of liquidity, including cash equivalents, to fund its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through at least twelve months from the date of issuance of these financial statements.</w:t>
      </w:r>
    </w:p>
    <w:p>
      <w:pPr>
        <w:spacing w:after="0" w:line="177" w:lineRule="exact"/>
        <w:rPr>
          <w:sz w:val="20"/>
          <w:szCs w:val="20"/>
          <w:color w:val="auto"/>
        </w:rPr>
      </w:pPr>
    </w:p>
    <w:p>
      <w:pPr>
        <w:ind w:right="140" w:firstLine="509"/>
        <w:spacing w:after="0" w:line="268" w:lineRule="auto"/>
        <w:rPr>
          <w:sz w:val="20"/>
          <w:szCs w:val="20"/>
          <w:color w:val="auto"/>
        </w:rPr>
      </w:pPr>
      <w:r>
        <w:rPr>
          <w:rFonts w:ascii="Arial" w:cs="Arial" w:eastAsia="Arial" w:hAnsi="Arial"/>
          <w:sz w:val="17"/>
          <w:szCs w:val="17"/>
          <w:color w:val="auto"/>
        </w:rPr>
        <w:t>As a clinical-stage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While the Company is not aware of a material impact from the continuation of the COVID-19 pandemic through September 30, 2023,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2022, and the notes thereto, which are included in the Company’s Annual Report on Form 10-K for the year ended December 31, 2022, filed with the Securities and Exchange Commission (SEC) on March 29, 2023 (the 2022 Annual Report), have had no material changes during the nine months ended September 30, 2023, other than the note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On September 27, 2023, the Company effected a one-for-fifteen reverse stock split of its issued and outstanding common stock, which also adjusted all outstanding warrants. Accordingly, all share and per share amounts for all periods presented in the accompanying condensed consolidated financial statements and notes thereto have been adjusted retroactively, where applicable, to reflect this stock split. All fractional shares resulting from the reverse stock split were paid in cash.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September 30, 2023 and for the three and nine months ended September 30, 2023 and 2022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2022 and 2021 audited consolidated financial statements and notes included in the 2022 Annual Report. The consolidated balance sheet as of December 31, 2022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2023 and 2022. The results of operations for the interim periods are not necessarily indicative of the results to be expected for the year ending December 31, 2023 or any other interim period or future year or period.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62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New accounting pronouncements are issued by the Financial Accounting Standards Board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31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 w:name="page10"/>
    <w:bookmarkEnd w:id="9"/>
    <w:p>
      <w:pPr>
        <w:ind w:right="640" w:firstLine="509"/>
        <w:spacing w:after="0" w:line="277" w:lineRule="auto"/>
        <w:rPr>
          <w:sz w:val="20"/>
          <w:szCs w:val="20"/>
          <w:color w:val="auto"/>
        </w:rPr>
      </w:pPr>
      <w:r>
        <w:rPr>
          <w:rFonts w:ascii="Arial" w:cs="Arial" w:eastAsia="Arial" w:hAnsi="Arial"/>
          <w:sz w:val="18"/>
          <w:szCs w:val="18"/>
          <w:color w:val="auto"/>
        </w:rPr>
        <w:t>At September 30, 2023 and December 31, 2022, the Company has classified assets measured at fair value on a recurring basis as follows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7"/>
              </w:rPr>
              <w:t>Fair Value Measurements at Reporting Date Using</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5"/>
                <w:szCs w:val="15"/>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0" w:type="dxa"/>
            <w:vAlign w:val="bottom"/>
            <w:gridSpan w:val="2"/>
          </w:tcPr>
          <w:p>
            <w:pPr>
              <w:ind w:left="156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 cash</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0" w:type="dxa"/>
            <w:vAlign w:val="bottom"/>
            <w:gridSpan w:val="2"/>
          </w:tcPr>
          <w:p>
            <w:pPr>
              <w:spacing w:after="0"/>
              <w:rPr>
                <w:sz w:val="20"/>
                <w:szCs w:val="20"/>
                <w:color w:val="auto"/>
              </w:rPr>
            </w:pPr>
            <w:r>
              <w:rPr>
                <w:rFonts w:ascii="Arial" w:cs="Arial" w:eastAsia="Arial" w:hAnsi="Arial"/>
                <w:sz w:val="18"/>
                <w:szCs w:val="18"/>
                <w:color w:val="auto"/>
              </w:rPr>
              <w:t>Commercial paper (included in cash and cash</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00" w:type="dxa"/>
            <w:vAlign w:val="bottom"/>
            <w:gridSpan w:val="2"/>
          </w:tcPr>
          <w:p>
            <w:pPr>
              <w:spacing w:after="0"/>
              <w:rPr>
                <w:sz w:val="20"/>
                <w:szCs w:val="20"/>
                <w:color w:val="auto"/>
              </w:rPr>
            </w:pPr>
            <w:r>
              <w:rPr>
                <w:rFonts w:ascii="Arial" w:cs="Arial" w:eastAsia="Arial" w:hAnsi="Arial"/>
                <w:sz w:val="18"/>
                <w:szCs w:val="18"/>
                <w:color w:val="auto"/>
              </w:rPr>
              <w:t>U.S. treasuries (included in cash and cash</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9"/>
              </w:rPr>
              <w:t>U.S. government agency securities and treasuries</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33,415</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15,884</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7"/>
              </w:rPr>
              <w:t>Fair Value Measurements at Reporting Date Using</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5"/>
                <w:szCs w:val="15"/>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0" w:type="dxa"/>
            <w:vAlign w:val="bottom"/>
            <w:gridSpan w:val="2"/>
          </w:tcPr>
          <w:p>
            <w:pPr>
              <w:ind w:left="156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 cash</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44,375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77,629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44,375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-1859280</wp:posOffset>
            </wp:positionV>
            <wp:extent cx="6858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-1859280</wp:posOffset>
            </wp:positionV>
            <wp:extent cx="59690" cy="342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34290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60325"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-1859280</wp:posOffset>
            </wp:positionV>
            <wp:extent cx="60325" cy="1071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10712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September 30, 2023 and December 31, 2022 are carried at amounts that approximate fair value due to their short-term maturities. Finance lease obligations at September 30, 2023 and December 31, 2022 approximate fair value as they bear interest at a rate approximating a market interest rate.</w:t>
      </w:r>
    </w:p>
    <w:p>
      <w:pPr>
        <w:spacing w:after="0" w:line="25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following tables summarize the estimated fair value of the assets presented within cash and cash equivalents measured at fair value and the gross unrealized holding gains and losses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Gross unrealized gains</w:t>
            </w:r>
          </w:p>
        </w:tc>
        <w:tc>
          <w:tcPr>
            <w:tcW w:w="260" w:type="dxa"/>
            <w:vAlign w:val="bottom"/>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Gross unrealized losses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 (included in cash and cash</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equivalents)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980" w:type="dxa"/>
            <w:vAlign w:val="bottom"/>
            <w:gridSpan w:val="2"/>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w w:val="91"/>
              </w:rPr>
              <w:t>Commercial paper (included in cash and cash equivalents)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8,977</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6"/>
              </w:rPr>
              <w:t>U.S. treasuries (included in cash and cash equivalents)</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24,535</w:t>
            </w:r>
          </w:p>
        </w:tc>
        <w:tc>
          <w:tcPr>
            <w:tcW w:w="98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Gross unrealized gains</w:t>
            </w:r>
          </w:p>
        </w:tc>
        <w:tc>
          <w:tcPr>
            <w:tcW w:w="260" w:type="dxa"/>
            <w:vAlign w:val="bottom"/>
          </w:tcPr>
          <w:p>
            <w:pPr>
              <w:spacing w:after="0"/>
              <w:rPr>
                <w:sz w:val="24"/>
                <w:szCs w:val="24"/>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Gross unrealized losses</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 (included in cash and cash</w:t>
            </w:r>
          </w:p>
        </w:tc>
        <w:tc>
          <w:tcPr>
            <w:tcW w:w="160" w:type="dxa"/>
            <w:vAlign w:val="bottom"/>
            <w:vMerge w:val="restart"/>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300" w:type="dxa"/>
            <w:vAlign w:val="bottom"/>
            <w:vMerge w:val="restart"/>
            <w:shd w:val="clear" w:color="auto" w:fill="CFF0FC"/>
          </w:tcPr>
          <w:p>
            <w:pPr>
              <w:spacing w:after="0"/>
              <w:rPr>
                <w:sz w:val="18"/>
                <w:szCs w:val="18"/>
                <w:color w:val="auto"/>
              </w:rPr>
            </w:pPr>
          </w:p>
        </w:tc>
        <w:tc>
          <w:tcPr>
            <w:tcW w:w="680" w:type="dxa"/>
            <w:vAlign w:val="bottom"/>
            <w:vMerge w:val="restart"/>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8"/>
                <w:szCs w:val="18"/>
                <w:color w:val="auto"/>
              </w:rPr>
            </w:pPr>
          </w:p>
        </w:tc>
        <w:tc>
          <w:tcPr>
            <w:tcW w:w="68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60" w:type="dxa"/>
            <w:vAlign w:val="bottom"/>
            <w:vMerge w:val="restart"/>
            <w:shd w:val="clear" w:color="auto" w:fill="CFF0FC"/>
          </w:tcPr>
          <w:p>
            <w:pPr>
              <w:spacing w:after="0"/>
              <w:rPr>
                <w:sz w:val="18"/>
                <w:szCs w:val="18"/>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vMerge w:val="continue"/>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15,861</w:t>
            </w:r>
          </w:p>
        </w:tc>
        <w:tc>
          <w:tcPr>
            <w:tcW w:w="98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-1430655</wp:posOffset>
            </wp:positionV>
            <wp:extent cx="77470"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-1430655</wp:posOffset>
            </wp:positionV>
            <wp:extent cx="68580"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-1430655</wp:posOffset>
            </wp:positionV>
            <wp:extent cx="68580" cy="462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-685165</wp:posOffset>
            </wp:positionV>
            <wp:extent cx="7747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-685165</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-685165</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September 30, 2023 and December 31, 2022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w w:val="96"/>
              </w:rPr>
              <w:t>U.S. government agency securities and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(99 )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-890905</wp:posOffset>
            </wp:positionV>
            <wp:extent cx="3008630" cy="394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08630" cy="39433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All securities held by the Company at September 30, 2023 had contractual maturities of four months or less and none of such securities were in an unrealized loss position. There were fifteen investments in an unrealized loss position at December 31, 2022, none of which had been in an unrealized loss position for more than twelve months. The aggregate fair value of the securities in an unrealized loss position at December 31, 2022 was $36.6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4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80" w:type="dxa"/>
            <w:vAlign w:val="bottom"/>
            <w:shd w:val="clear" w:color="auto" w:fill="CFF0FC"/>
          </w:tcPr>
          <w:p>
            <w:pPr>
              <w:spacing w:after="0"/>
              <w:rPr>
                <w:sz w:val="20"/>
                <w:szCs w:val="20"/>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9,820</w:t>
            </w:r>
          </w:p>
        </w:tc>
        <w:tc>
          <w:tcPr>
            <w:tcW w:w="80" w:type="dxa"/>
            <w:vAlign w:val="bottom"/>
          </w:tcPr>
          <w:p>
            <w:pPr>
              <w:spacing w:after="0"/>
              <w:rPr>
                <w:sz w:val="20"/>
                <w:szCs w:val="20"/>
                <w:color w:val="auto"/>
              </w:rPr>
            </w:pPr>
          </w:p>
        </w:tc>
      </w:tr>
      <w:tr>
        <w:trPr>
          <w:trHeight w:val="24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20,463</w:t>
            </w:r>
          </w:p>
        </w:tc>
        <w:tc>
          <w:tcPr>
            <w:tcW w:w="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(14,649 )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(13,140 )</w:t>
            </w:r>
          </w:p>
        </w:tc>
      </w:tr>
      <w:tr>
        <w:trPr>
          <w:trHeight w:val="236"/>
        </w:trPr>
        <w:tc>
          <w:tcPr>
            <w:tcW w:w="5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80" w:type="dxa"/>
            <w:vAlign w:val="bottom"/>
            <w:tcBorders>
              <w:top w:val="single" w:sz="8" w:color="CFF0FC"/>
            </w:tcBorders>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-505460</wp:posOffset>
            </wp:positionV>
            <wp:extent cx="5143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9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1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Professional fees</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24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5"/>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-521970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On September 27, 2023, the Company effected a reverse stock split of its shares of common stock, pursuant to which every fifteen (15) shares of the its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w:t>
      </w:r>
    </w:p>
    <w:p>
      <w:pPr>
        <w:spacing w:after="0" w:line="4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In June 2019, the Company issued to Ginkgo Bioworks, Inc.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September 30, 2023. (See Note 9, </w:t>
      </w:r>
      <w:r>
        <w:rPr>
          <w:rFonts w:ascii="Arial" w:cs="Arial" w:eastAsia="Arial" w:hAnsi="Arial"/>
          <w:sz w:val="17"/>
          <w:szCs w:val="17"/>
          <w:i w:val="1"/>
          <w:iCs w:val="1"/>
          <w:color w:val="auto"/>
        </w:rPr>
        <w:t>Collaboration Agreements</w:t>
      </w:r>
      <w:r>
        <w:rPr>
          <w:rFonts w:ascii="Arial" w:cs="Arial" w:eastAsia="Arial" w:hAnsi="Arial"/>
          <w:sz w:val="17"/>
          <w:szCs w:val="17"/>
          <w:color w:val="auto"/>
        </w:rPr>
        <w:t xml:space="preserve">: </w:t>
      </w:r>
      <w:r>
        <w:rPr>
          <w:rFonts w:ascii="Arial" w:cs="Arial" w:eastAsia="Arial" w:hAnsi="Arial"/>
          <w:sz w:val="17"/>
          <w:szCs w:val="17"/>
          <w:i w:val="1"/>
          <w:iCs w:val="1"/>
          <w:color w:val="auto"/>
        </w:rPr>
        <w:t>Ginkgo</w:t>
      </w:r>
      <w:r>
        <w:rPr>
          <w:rFonts w:ascii="Arial" w:cs="Arial" w:eastAsia="Arial" w:hAnsi="Arial"/>
          <w:sz w:val="17"/>
          <w:szCs w:val="17"/>
          <w:color w:val="auto"/>
        </w:rPr>
        <w:t xml:space="preserve"> </w:t>
      </w:r>
      <w:r>
        <w:rPr>
          <w:rFonts w:ascii="Arial" w:cs="Arial" w:eastAsia="Arial" w:hAnsi="Arial"/>
          <w:sz w:val="17"/>
          <w:szCs w:val="17"/>
          <w:i w:val="1"/>
          <w:iCs w:val="1"/>
          <w:color w:val="auto"/>
        </w:rPr>
        <w:t>Collaboration</w:t>
      </w:r>
      <w:r>
        <w:rPr>
          <w:rFonts w:ascii="Arial" w:cs="Arial" w:eastAsia="Arial" w:hAnsi="Arial"/>
          <w:sz w:val="17"/>
          <w:szCs w:val="17"/>
          <w:color w:val="auto"/>
        </w:rPr>
        <w:t>). The shares of common stock and the Ginkgo pre-funded warrants to purchase common stock were adjusted, as a result of the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during the three and nine months ended September 30, 2023.</w:t>
      </w:r>
    </w:p>
    <w:p>
      <w:pPr>
        <w:spacing w:after="0" w:line="17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July 2021, the Company entered into a sales agreement with Jefferies, LLC (Jefferies) with respect to an at-the-market (ATM) offering program. In an ATM offering, exchange-listed companies incrementally sell newly issued shares into the secondary trading market through a designated broker-dealer at prevailing market prices. Under the ATM offering program, the Company may offer and sell, from time to time at its sole discretion, shares of its common stock having aggregate sales proceeds of up to $50.0 million. Jefferies is not required to sell any specific amount of common stock but acts as the Company’s sales agent using commercially reasonable efforts consistent with its normal trading and sales practices. During the nine months ended September 30, 2023, 115,966 shares of common stock were sold pursuant to the sales agreement with Jefferies, resulting in net proceeds of approximately $1.25 million.</w:t>
      </w:r>
    </w:p>
    <w:p>
      <w:pPr>
        <w:spacing w:after="0" w:line="19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Ginkgo pre-funded warrants, exercise of stock options, and the employee stock purchase plan:</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7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16"/>
                <w:szCs w:val="16"/>
                <w:color w:val="auto"/>
              </w:rPr>
            </w:pPr>
          </w:p>
        </w:tc>
      </w:tr>
      <w:tr>
        <w:trPr>
          <w:trHeight w:val="237"/>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issuable under Ginkgo pre-funded warrants</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169,874</w:t>
            </w:r>
          </w:p>
        </w:tc>
        <w:tc>
          <w:tcPr>
            <w:tcW w:w="80" w:type="dxa"/>
            <w:vAlign w:val="bottom"/>
            <w:shd w:val="clear" w:color="auto" w:fill="CFF0FC"/>
          </w:tcPr>
          <w:p>
            <w:pPr>
              <w:spacing w:after="0"/>
              <w:rPr>
                <w:sz w:val="20"/>
                <w:szCs w:val="20"/>
                <w:color w:val="auto"/>
              </w:rPr>
            </w:pP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Options exercisable to purchase common stock</w:t>
            </w:r>
          </w:p>
        </w:tc>
        <w:tc>
          <w:tcPr>
            <w:tcW w:w="2780" w:type="dxa"/>
            <w:vAlign w:val="bottom"/>
          </w:tcPr>
          <w:p>
            <w:pPr>
              <w:jc w:val="right"/>
              <w:spacing w:after="0"/>
              <w:rPr>
                <w:sz w:val="20"/>
                <w:szCs w:val="20"/>
                <w:color w:val="auto"/>
              </w:rPr>
            </w:pPr>
            <w:r>
              <w:rPr>
                <w:rFonts w:ascii="Arial" w:cs="Arial" w:eastAsia="Arial" w:hAnsi="Arial"/>
                <w:sz w:val="18"/>
                <w:szCs w:val="18"/>
                <w:color w:val="auto"/>
              </w:rPr>
              <w:t>292,805</w:t>
            </w:r>
          </w:p>
        </w:tc>
        <w:tc>
          <w:tcPr>
            <w:tcW w:w="80" w:type="dxa"/>
            <w:vAlign w:val="bottom"/>
          </w:tcPr>
          <w:p>
            <w:pPr>
              <w:spacing w:after="0"/>
              <w:rPr>
                <w:sz w:val="20"/>
                <w:szCs w:val="20"/>
                <w:color w:val="auto"/>
              </w:rPr>
            </w:pPr>
          </w:p>
        </w:tc>
      </w:tr>
      <w:tr>
        <w:trPr>
          <w:trHeight w:val="243"/>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462,679</w:t>
            </w:r>
          </w:p>
        </w:tc>
        <w:tc>
          <w:tcPr>
            <w:tcW w:w="80" w:type="dxa"/>
            <w:vAlign w:val="bottom"/>
          </w:tcPr>
          <w:p>
            <w:pPr>
              <w:spacing w:after="0"/>
              <w:rPr>
                <w:sz w:val="21"/>
                <w:szCs w:val="21"/>
                <w:color w:val="auto"/>
              </w:rPr>
            </w:pPr>
          </w:p>
        </w:tc>
      </w:tr>
      <w:tr>
        <w:trPr>
          <w:trHeight w:val="20"/>
        </w:trPr>
        <w:tc>
          <w:tcPr>
            <w:tcW w:w="61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color w:val="auto"/>
        </w:rPr>
        <w:t>On January 1, 2023, the number of shares of common stock available for issuance under the 2015 Equity Incentive Award Plan (the 2015 Plan) and the 2015 Employee Stock Purchase Plan (ESPP) was increased by 222,454 shares and 44,490 shares, respectively, due to the annual evergreen provision to increase shares available under the 2015 Plan and the ESPP. As of September 30, 2023, there were an aggregate of 175,874 shares available for future grant under the 2017 Stock Incentive Plan (the 2017 Plan) and the 2015 Plan, and 95,134 shares available for future grant under the ESPP.</w:t>
      </w:r>
    </w:p>
    <w:p>
      <w:pPr>
        <w:spacing w:after="0" w:line="157" w:lineRule="exact"/>
        <w:rPr>
          <w:sz w:val="20"/>
          <w:szCs w:val="20"/>
          <w:color w:val="auto"/>
        </w:rPr>
      </w:pPr>
    </w:p>
    <w:p>
      <w:pPr>
        <w:ind w:right="108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nine months ended September 30, 2023 and 2022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5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5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83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-505460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-488315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-505460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-488315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-505460</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-488315</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ind w:right="4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nine months ended September 30, 2023 and 2022 (in thousands):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4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44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4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6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2,429</w:t>
            </w:r>
          </w:p>
        </w:tc>
        <w:tc>
          <w:tcPr>
            <w:tcW w:w="100" w:type="dxa"/>
            <w:vAlign w:val="bottom"/>
            <w:shd w:val="clear" w:color="auto" w:fill="CFF0FC"/>
          </w:tcPr>
          <w:p>
            <w:pPr>
              <w:spacing w:after="0"/>
              <w:rPr>
                <w:sz w:val="20"/>
                <w:szCs w:val="20"/>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r>
      <w:tr>
        <w:trPr>
          <w:trHeight w:val="24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w:t>
            </w:r>
          </w:p>
        </w:tc>
        <w:tc>
          <w:tcPr>
            <w:tcW w:w="10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200" w:type="dxa"/>
            <w:vAlign w:val="bottom"/>
          </w:tcPr>
          <w:p>
            <w:pPr>
              <w:spacing w:after="0"/>
              <w:rPr>
                <w:sz w:val="20"/>
                <w:szCs w:val="20"/>
                <w:color w:val="auto"/>
              </w:rPr>
            </w:pP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13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894</w:t>
            </w:r>
          </w:p>
        </w:tc>
        <w:tc>
          <w:tcPr>
            <w:tcW w:w="138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2,003</w:t>
            </w:r>
          </w:p>
        </w:tc>
        <w:tc>
          <w:tcPr>
            <w:tcW w:w="12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2,761</w:t>
            </w:r>
          </w:p>
        </w:tc>
        <w:tc>
          <w:tcPr>
            <w:tcW w:w="10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-187960</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03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03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nine months ended September 30, 2023, the Company granted 303,810 stock options with a weighted average exercise price of $9.31 per share. As of September 30, 2023, there was $3.9 million of unrecognized share-based compensation related to unvested stock option grants which is expected to be recognized over a weighted average period of 2.25 years. The total unrecognized share-based compensation cost will be adjusted for actual forfeitures as they occur.</w:t>
      </w:r>
    </w:p>
    <w:p>
      <w:pPr>
        <w:spacing w:after="0" w:line="18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the nine months ended September 30, 2023, the Company granted 10,803 restricted stock awards with a weighted average grant date fair value per share of $9.30. As of September 30, 2023, there was approximately $0.8 million of unrecognized share-based compensation related to restricted stock awards granted, which is expected to be recognized over a weighted average period of 2.2 years. The total unrecognized share-based compensation cost will be adjusted for actual forfeitures as they occur.</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2022 Annual Report.</w:t>
      </w:r>
    </w:p>
    <w:p>
      <w:pPr>
        <w:spacing w:after="0" w:line="30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During the nine months ended September 30, 2023 and 2022, the Company recognized $0.6 million and $1.1 million, respectively, as collaboration revenue associated with the Roche Collaboration and Option Agreement. Deferred revenue from the collaboration amounted to $0.3 million as of September 30, 2023, all of which is included in current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For a full description of the Roche Collaboration and Option Agreement, refer to Note 10, </w:t>
      </w:r>
      <w:r>
        <w:rPr>
          <w:rFonts w:ascii="Arial" w:cs="Arial" w:eastAsia="Arial" w:hAnsi="Arial"/>
          <w:sz w:val="16"/>
          <w:szCs w:val="16"/>
          <w:i w:val="1"/>
          <w:iCs w:val="1"/>
          <w:color w:val="auto"/>
        </w:rPr>
        <w:t>Collaboration Agreements</w:t>
      </w:r>
      <w:r>
        <w:rPr>
          <w:rFonts w:ascii="Arial" w:cs="Arial" w:eastAsia="Arial" w:hAnsi="Arial"/>
          <w:sz w:val="16"/>
          <w:szCs w:val="16"/>
          <w:color w:val="auto"/>
        </w:rPr>
        <w:t xml:space="preserve"> in the 2022 Annual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which may be extended for an additional three (3) years, subject to the satisfaction of specified conditions. The prepayment of foundry services is recorded in Prepaid expenses and other current assets and Prepaid research and development, net of current portion on the September 30, 2023 consolidated balance sheet. At September 30, 2023, the Company had remaining balances of $0.8 million and $5.2 million of current and non-current prepaid research and development costs related to this transaction, respectively. Upon the expiration of such initial term and, if applicable, an additional term, any portion of the prepayment that has not been used to purchase services from Ginkgo will be retained by Ginkgo.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3" w:name="page14"/>
    <w:bookmarkEnd w:id="13"/>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 xml:space="preserve">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and Note 10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Collaborations: Ginkgo Collaboration, </w:t>
      </w:r>
      <w:r>
        <w:rPr>
          <w:rFonts w:ascii="Arial" w:cs="Arial" w:eastAsia="Arial" w:hAnsi="Arial"/>
          <w:sz w:val="16"/>
          <w:szCs w:val="16"/>
          <w:color w:val="auto"/>
        </w:rPr>
        <w:t>in the audited financial statements included in the 2022 Annual Report). The shares of common stock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Ginkgo pre-funded warrants to purchase common stock were adjusted, as a result of the reverse stock split, during the three months ended September 30, 2023. The shares of common stock into which the warrants may be exercised are considered outstanding for the purposes of computing net loss per share.</w:t>
      </w:r>
    </w:p>
    <w:p>
      <w:pPr>
        <w:spacing w:after="0" w:line="16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84" w:lineRule="exact"/>
        <w:rPr>
          <w:sz w:val="20"/>
          <w:szCs w:val="20"/>
          <w:color w:val="auto"/>
        </w:rPr>
      </w:pPr>
    </w:p>
    <w:p>
      <w:pPr>
        <w:ind w:right="420" w:firstLine="509"/>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0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9"/>
              </w:rPr>
              <w:t>As of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13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r>
      <w:tr>
        <w:trPr>
          <w:trHeight w:val="23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41,798</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43,951</w:t>
            </w:r>
          </w:p>
        </w:tc>
        <w:tc>
          <w:tcPr>
            <w:tcW w:w="80" w:type="dxa"/>
            <w:vAlign w:val="bottom"/>
            <w:shd w:val="clear" w:color="auto" w:fill="CFF0FC"/>
          </w:tcPr>
          <w:p>
            <w:pPr>
              <w:spacing w:after="0"/>
              <w:rPr>
                <w:sz w:val="20"/>
                <w:szCs w:val="20"/>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300" w:type="dxa"/>
            <w:vAlign w:val="bottom"/>
          </w:tcPr>
          <w:p>
            <w:pPr>
              <w:jc w:val="right"/>
              <w:spacing w:after="0"/>
              <w:rPr>
                <w:sz w:val="20"/>
                <w:szCs w:val="20"/>
                <w:color w:val="auto"/>
              </w:rPr>
            </w:pPr>
            <w:r>
              <w:rPr>
                <w:rFonts w:ascii="Arial" w:cs="Arial" w:eastAsia="Arial" w:hAnsi="Arial"/>
                <w:sz w:val="18"/>
                <w:szCs w:val="18"/>
                <w:color w:val="auto"/>
              </w:rPr>
              <w:t>653,927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491,151</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200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bl>
    <w:p>
      <w:pPr>
        <w:spacing w:after="0" w:line="38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On November 25, 2022, the Company entered into a definitive share repurchase agreement with a stockholder, as part of a privately negotiated transaction, to repurchase 279,792 shares of common stock held by them for an aggregate purchase price of $2.5 million, or $9.00 per share. This repurchase was completed on November 28, 2022.</w:t>
      </w:r>
    </w:p>
    <w:p>
      <w:pPr>
        <w:spacing w:after="0" w:line="184"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Repurchased shares are held as treasury stock at cost until they are retired or re-issued. There were no additional shares repurchased and no retirements or re-issuances of treasury stock during the nine months ended September 30, 2023.</w:t>
      </w:r>
    </w:p>
    <w:p>
      <w:pPr>
        <w:spacing w:after="0" w:line="166"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Company’s commitments described in the Company’s consolidated financial statements as of and for the year ended December 31, 2022 and the notes thereto included in the 2022 Annual Report have had no material changes during the nine months ended September 30, 2023.</w:t>
      </w:r>
    </w:p>
    <w:p>
      <w:pPr>
        <w:spacing w:after="0" w:line="250"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 xml:space="preserve">In June 2019, the Company expanded its collaboration and entered into an agreement with Ginkgo for the research and development of engineered microbial therapeutic products. As of September 30, 2023, Ginkgo owned 422,718 shares of the Company’s outstanding common stock. See Note 10, </w:t>
      </w:r>
      <w:r>
        <w:rPr>
          <w:rFonts w:ascii="Arial" w:cs="Arial" w:eastAsia="Arial" w:hAnsi="Arial"/>
          <w:sz w:val="18"/>
          <w:szCs w:val="18"/>
          <w:i w:val="1"/>
          <w:iCs w:val="1"/>
          <w:color w:val="auto"/>
        </w:rPr>
        <w:t xml:space="preserve">Ginkgo Collaboration,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September 30, 2023, the Company had remaining balances of $0.8 million and $5.2 million of current and non-current prepaid research and development costs related to this transaction, respectively. The Company utilized $0.8 million and $2.3 million of the prepaid research and development expenses for the three and nine months ended September 30, 2023,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October 3, 2023, the Company issued and sold, through an underwritten public offering:</w:t>
      </w:r>
    </w:p>
    <w:p>
      <w:pPr>
        <w:spacing w:after="0" w:line="11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3,921,928 shares of its common stock at a price of $2.84 per share less underwriting discounts and commissions;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pre-funded warrants to purchase up to 3,472,435 shares of its common stock at a price of $2.839 immediately following the consummation of the offering, and;</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accompanying common stock warrants to purchase up to 7,394,363 shares of its common stock at a price of $3.408 per share exercisable immediately after issuance and expires five years from the date of issuance.</w:t>
      </w:r>
    </w:p>
    <w:p>
      <w:pPr>
        <w:spacing w:after="0" w:line="170"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at the election of the holder,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spacing w:after="0" w:line="28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October 2023, the Company achieved its third pre-specified research milestone under the terms of the Roche Collaboration and Option Agreement and earned a third milestone payment of $2.5 million, payable to the Company within 45 days. The Company will recognize the remainder of the deferred revenue balance, $0.3 million, in the fourth quarter of 2023.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years ended December 31, 2022 and 2021 included in our Annual Report on Form 10-K filed with the SEC on March 29, 2023 (the "2022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[23]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a clinical-stage biotechnology company advancing novel, oral, non-systemically absorbed biotherapeutics to transform the care of serious diseases in need of new treatment options. Our late-stage pipeline is focused on rare metabolic diseases, led by labafenogene marselecobac (previously referred to as SYNB1934), currently being studied as a potential treatment for phenylketonuria (PKU) in Synpheny-3, a global, pivotal Phase 3 study. Additional product candidates address diseases including homocystinuria (HCU), enteric hyperoxaluria, gout, and cystinuria. This pipeline is fueled by the Synthetic Biotic platform, which applies precision genetic engineering to well-characterized probiotics based on the principles and techniques of synthetic biology, the application of programming and engineering to biological parts, systems, and organisms.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 Pipeline: Late-Stage Programs Focused on Rare Metabolic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154305</wp:posOffset>
            </wp:positionV>
            <wp:extent cx="6172200" cy="259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We are focused on advancing our late-stage drug candidates for rare metabolic diseases, disorders that present a strong biological fit with Synthetic Biotics, and also provide synergies in clinical trial execution and commercialization. Metabolic diseases result from alterations in how bodies break down or produce important metabolites or molecules needed for normal function. In patients with these diseases, the absence of certain enzymes causes metabolites to accumulate in the gut and systemically throughout the body. Our approach enables the design of GI-restricted, oral medicines designed to consume or modify disease-specific metabolites – an approach well suited for PKU and HCU, as well as other disorders in which the disease–specific metabolites transit through the GI tract, providing validated targets for these Synthetic Biotics.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p>
      <w:pPr>
        <w:ind w:right="120" w:firstLine="509"/>
        <w:spacing w:after="0" w:line="259" w:lineRule="auto"/>
        <w:rPr>
          <w:sz w:val="20"/>
          <w:szCs w:val="20"/>
          <w:color w:val="auto"/>
        </w:rPr>
      </w:pPr>
      <w:r>
        <w:rPr>
          <w:rFonts w:ascii="Arial" w:cs="Arial" w:eastAsia="Arial" w:hAnsi="Arial"/>
          <w:sz w:val="18"/>
          <w:szCs w:val="18"/>
          <w:color w:val="auto"/>
        </w:rPr>
        <w:t>In addition, patients with rare metabolic diseases are typically treated by the same relatively small and well-connected community of medical thought leaders and receive care at the same clinics from the same clinician network. The patient communities themselves are also often connected. These considerations present significant advantages for efficiency in both clinical trial execution and management of multiple programs in different but related diseases, as well as for future product launches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PKU</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pipeline is led by labafenogene marselecobac, an orally administered, non-systemically absorbed, potential treatment for PKU, a rare metabolic disease caused by inherited mutations that impair the breakdown of phenylalanine (Phe), an amino acid found in all protein-containing foods. The goal of PKU management is to reduce plasma Phe below neurotoxic levels, reducing risk of neurocognitive complications. Current treatment options for PKU are limited due to safety and efficacy, leaving the majority of people living with PKU without medical management and with uncontrolled Phe. We designed labafenogene marselecobac to target and consume Phe in the GI tract by applying precision genetic engineering to a well-characterized probiotic. Results to date indicate the potential for labafenogene marselecobac to be the first and only orally administered, non-systemically absorbed medical treatment option for FDA available for patients to take alone, or as an adjunct to other medications for PKU. Following successful Phase 2 results, labafenogene marselecobac is currently being evaluated in Synpheny-3, a global, pivotal Phase 3 study. Labafenogene marselecobac has received Orphan Drug Designation, Fast Track designation, and Rare Pediatric Disease Designation (RPDD) from the FDA in addition to orphan designation from the European Medicines Agency (EMA).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Homocystinuria</w:t>
      </w:r>
    </w:p>
    <w:p>
      <w:pPr>
        <w:spacing w:after="0" w:line="22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HCU is a rare inherited metabolic disorder caused by a genetic defect that causes homocysteine and other toxic chemicals and their byproducts, to build up in the blood and urine. Elevated homocysteine levels are associated with risk of life-threatening acute ischemic stroke as well as multisystem complications such as impairments of the eye (ectopia lentis and/or severe myopia), skeletal system, and neurocognitive impact (development delay and intellectual disability).</w:t>
      </w:r>
    </w:p>
    <w:p>
      <w:pPr>
        <w:spacing w:after="0" w:line="18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essential amino acid methionine (Met), typically found in dietary protein, is metabolized to homocysteine and the first therapeutic intervention for HCU is often a methionine-restricted diet with the goal of lowering plasma levels of total homocysteine (tHcy) to reduce risk of complications. SYNB1353, our drug candidate for HCU, was designed to leverage this pathway by consuming methionine in the GI tract as a means of reducing systemic levels of tHcy. Like labafenogene marselecobac, SYNB1353 is an orally-administered, non-systemically absorbed investigational biotherapeutic. In November 2022, we announced that proof of mechanism was achieved based on the positive findings from a Phase 1 study in healthy volunteers using a dietary model of homocystinuria, which showed that SYNB1353 reduced plasma methionine by metabolizing methionine and preventing its absorption in the GI tract. To date, the FDA has granted SYNB1353 Fast Track, Orphan Drug, and Rare Pediatric Disease designations as a potential treatment for HCU. Our next step for SYNB1353 is to advance to a Phase 2 study in patients with HCU.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Clinical Pipeline &amp; Preclinical Research Programs</w:t>
      </w:r>
    </w:p>
    <w:p>
      <w:pPr>
        <w:spacing w:after="0" w:line="229"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2022, we achieved proof of concept for SYNB8802, in development for enteric hyperoxaluria, a well-recognized cause of recurrent kidney stones. During 2022, we also announced the naming of SYNB2081, a Synthetic Biotic designed to metabolize uric acid as a potential biotherapeutic for gout, which is currently in IND-enabling studies. We believe that both of these product candidates present compelling opportunities to help patients in significant need of new treatment options. We also believe that the programs would be best enabled in partnership with organizations with experience and expertise in their respective, target therapeutic areas, which would be complementary to our own clinical and regulatory expertise with the Synthetic Biotic platform, as we focus on applications in the rare metabolic diseases. We also have ongoing preclinical research activities to advance a Synthetic Biotic for cystinuria, a rare, genetic cause of recurrent kidney stones which is also caused by an underlying metabolic disorder.</w:t>
      </w:r>
    </w:p>
    <w:p>
      <w:pPr>
        <w:spacing w:after="0" w:line="17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In addition, we have continued our preclinical research collaboration with Roche, focused on inflammatory bowel disease (IBD), which began in June of 2021. Current IBD therapeutics focus on immune system modulation and suppressing inflammation, which is associated with systemic immunosuppression, and which includes greater susceptibility to infectious diseases and cancer. Because our approach is based on local delivery to the site of inflammation in the GI tract and not on systemic administration, we anticipate that our Synthetic Biotics may potentially offer an attractive safety profile in this therapeutic category, where safety is a particularly desirable attribute in a product profile compared to options available today.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October 3, 2023, we issued and sold, through an underwritten public offering:</w:t>
      </w:r>
    </w:p>
    <w:p>
      <w:pPr>
        <w:spacing w:after="0" w:line="11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3,921,928 shares of our common stock at a price of $2.84 per share less underwriting discounts and commissions;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pre-funded warrants to purchase up to 3,472,435 shares of our common stock at a price of $2.839 immediately following the consummation of the offering, and;</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accompanying common stock warrants to purchase up to 7,394,363 shares of our common stock at a price of $3.408 per share exercisable immediately after issuance and expires five years from the date of issuance.</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Each share of our common stock and each pre-funded warrant was sold together with a common warrant to purchase one share of its common stock. A holder of pre-funded warrants may not exercise the warrant if the holder, together with its affiliates, would beneficially own more than 4.99% (or, at the election of the holder, 9.99%) of the number of shares of common stock outstanding immediately after giving effect to such exercise. The net proceeds to us from the sale of common stock and pre-funded warrants through the offering, after deducting the underwriting discounts and commissions and offering expenses payable by us, were approximately $19.6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currently operate in one reportable business segment—the discovery and development of novel, orally-administered, non-systemically absorbed biotherapeutics for serious diseases based on our Synthetic Biotic product platform.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8"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$12.1 million and $42.7 million for the three and nine months ended September 30, 2023, respectively, and $17.9 million and $49.5 million for the three and nine months ended September 30, 2022, respectively. As of September 30, 2023, we had an accumulated deficit of approximately $399.8 million, and we expect to incur losses for the foreseeable future as we develop our product candidates. We expect our expenses and capital requirements will increase substantially in connection with our ongoing activities, as we:</w:t>
      </w:r>
    </w:p>
    <w:p>
      <w:pPr>
        <w:spacing w:after="0" w:line="68"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w:t>
      </w:r>
    </w:p>
    <w:p>
      <w:pPr>
        <w:spacing w:after="0" w:line="22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 xml:space="preserve">Revenue for the three and nine months ended September 30, 2023 was generated from the Roche Collaboration and Option Agreement.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(as defined in the Roche Collaboration and Option Agreement) and acquire research and development milestones. See Note 9, </w:t>
      </w:r>
      <w:r>
        <w:rPr>
          <w:rFonts w:ascii="Arial" w:cs="Arial" w:eastAsia="Arial" w:hAnsi="Arial"/>
          <w:sz w:val="17"/>
          <w:szCs w:val="17"/>
          <w:i w:val="1"/>
          <w:iCs w:val="1"/>
          <w:color w:val="auto"/>
        </w:rPr>
        <w:t>Collaboration Agreements: Roche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process and formulation development, preclinical and clinical studies and regulatory operations.</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Our critical accounting policies are described in our 2022 Annual Report. During the nine months ended September 30, 2023, there were no new or material changes to our existing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and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For the Three Months Ended</w:t>
            </w:r>
          </w:p>
        </w:tc>
        <w:tc>
          <w:tcPr>
            <w:tcW w:w="1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36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6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(4,994 )</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(1,002 )</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(12,623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(18,334 </w:t>
            </w:r>
            <w:r>
              <w:rPr>
                <w:rFonts w:ascii="Arial" w:cs="Arial" w:eastAsia="Arial" w:hAnsi="Arial"/>
                <w:sz w:val="18"/>
                <w:szCs w:val="18"/>
                <w:color w:val="auto"/>
                <w:highlight w:val="white"/>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(12,075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(17,912 </w:t>
            </w:r>
            <w:r>
              <w:rPr>
                <w:rFonts w:ascii="Arial" w:cs="Arial" w:eastAsia="Arial" w:hAnsi="Arial"/>
                <w:sz w:val="18"/>
                <w:szCs w:val="18"/>
                <w:color w:val="auto"/>
                <w:highlight w:val="white"/>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(12,078 )</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(17,912 )</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-1439545</wp:posOffset>
            </wp:positionV>
            <wp:extent cx="5143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 was $0.4 million for the three months ended September 30, 2023, as compared to $0.7 million for the corresponding period in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both periods was related to services performed under the Roche collaboration that we entered into in June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Research and development expense was $9.6 million for the three months ended September 30, 2023 compared to $14.6 million in the corresponding period in 2022, a decrease of $5.0 million. The following table summarizes our research and development expense for the three months ended September 30, 2023 and 2022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w w:val="95"/>
              </w:rPr>
              <w:t>For the Three Months Ended</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8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costs by program:</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40"/>
              <w:spacing w:after="0"/>
              <w:rPr>
                <w:sz w:val="20"/>
                <w:szCs w:val="20"/>
                <w:color w:val="auto"/>
              </w:rPr>
            </w:pPr>
            <w:r>
              <w:rPr>
                <w:rFonts w:ascii="Arial" w:cs="Arial" w:eastAsia="Arial" w:hAnsi="Arial"/>
                <w:sz w:val="16"/>
                <w:szCs w:val="16"/>
                <w:color w:val="auto"/>
              </w:rPr>
              <w:t>Labafenogene marselecobac (SYNB1934)</w:t>
            </w:r>
          </w:p>
        </w:tc>
        <w:tc>
          <w:tcPr>
            <w:tcW w:w="148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SYNB1618</w:t>
            </w:r>
          </w:p>
        </w:tc>
        <w:tc>
          <w:tcPr>
            <w:tcW w:w="320" w:type="dxa"/>
            <w:vAlign w:val="bottom"/>
            <w:shd w:val="clear" w:color="auto" w:fill="CCEEFF"/>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(112 )</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(1,438 )</w:t>
            </w:r>
          </w:p>
        </w:tc>
        <w:tc>
          <w:tcPr>
            <w:tcW w:w="0" w:type="dxa"/>
            <w:vAlign w:val="bottom"/>
          </w:tcPr>
          <w:p>
            <w:pPr>
              <w:spacing w:after="0"/>
              <w:rPr>
                <w:sz w:val="1"/>
                <w:szCs w:val="1"/>
                <w:color w:val="auto"/>
              </w:rPr>
            </w:pPr>
          </w:p>
        </w:tc>
      </w:tr>
      <w:tr>
        <w:trPr>
          <w:trHeight w:val="237"/>
        </w:trPr>
        <w:tc>
          <w:tcPr>
            <w:tcW w:w="5300" w:type="dxa"/>
            <w:vAlign w:val="bottom"/>
          </w:tcPr>
          <w:p>
            <w:pPr>
              <w:ind w:left="140"/>
              <w:spacing w:after="0"/>
              <w:rPr>
                <w:sz w:val="20"/>
                <w:szCs w:val="20"/>
                <w:color w:val="auto"/>
              </w:rPr>
            </w:pPr>
            <w:r>
              <w:rPr>
                <w:rFonts w:ascii="Arial" w:cs="Arial" w:eastAsia="Arial" w:hAnsi="Arial"/>
                <w:sz w:val="16"/>
                <w:szCs w:val="16"/>
                <w:color w:val="auto"/>
              </w:rPr>
              <w:t>SYNB8802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(1,112 )</w:t>
            </w: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SYNB1353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FF0FC"/>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(1,159 )</w:t>
            </w:r>
          </w:p>
        </w:tc>
        <w:tc>
          <w:tcPr>
            <w:tcW w:w="0" w:type="dxa"/>
            <w:vAlign w:val="bottom"/>
          </w:tcPr>
          <w:p>
            <w:pPr>
              <w:spacing w:after="0"/>
              <w:rPr>
                <w:sz w:val="1"/>
                <w:szCs w:val="1"/>
                <w:color w:val="auto"/>
              </w:rPr>
            </w:pPr>
          </w:p>
        </w:tc>
      </w:tr>
      <w:tr>
        <w:trPr>
          <w:trHeight w:val="237"/>
        </w:trPr>
        <w:tc>
          <w:tcPr>
            <w:tcW w:w="5300" w:type="dxa"/>
            <w:vAlign w:val="bottom"/>
          </w:tcPr>
          <w:p>
            <w:pPr>
              <w:ind w:left="140"/>
              <w:spacing w:after="0"/>
              <w:rPr>
                <w:sz w:val="20"/>
                <w:szCs w:val="20"/>
                <w:color w:val="auto"/>
              </w:rPr>
            </w:pPr>
            <w:r>
              <w:rPr>
                <w:rFonts w:ascii="Arial" w:cs="Arial" w:eastAsia="Arial" w:hAnsi="Arial"/>
                <w:sz w:val="16"/>
                <w:szCs w:val="16"/>
                <w:color w:val="auto"/>
              </w:rPr>
              <w:t>SYNB1891</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External pre-development candidate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(840 )</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unallocated costs</w:t>
            </w:r>
          </w:p>
        </w:tc>
        <w:tc>
          <w:tcPr>
            <w:tcW w:w="320" w:type="dxa"/>
            <w:vAlign w:val="bottom"/>
            <w:shd w:val="clear" w:color="auto" w:fill="CCEEFF"/>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tcPr>
          <w:p>
            <w:pPr>
              <w:ind w:left="580"/>
              <w:spacing w:after="0"/>
              <w:rPr>
                <w:sz w:val="20"/>
                <w:szCs w:val="20"/>
                <w:color w:val="auto"/>
              </w:rPr>
            </w:pPr>
            <w:r>
              <w:rPr>
                <w:rFonts w:ascii="Arial" w:cs="Arial" w:eastAsia="Arial" w:hAnsi="Arial"/>
                <w:sz w:val="16"/>
                <w:szCs w:val="16"/>
                <w:color w:val="auto"/>
              </w:rPr>
              <w:t>Total external costs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(3,250 )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Internal costs:</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00" w:type="dxa"/>
            <w:vAlign w:val="bottom"/>
          </w:tcPr>
          <w:p>
            <w:pPr>
              <w:ind w:left="140"/>
              <w:spacing w:after="0"/>
              <w:rPr>
                <w:sz w:val="20"/>
                <w:szCs w:val="20"/>
                <w:color w:val="auto"/>
              </w:rPr>
            </w:pPr>
            <w:r>
              <w:rPr>
                <w:rFonts w:ascii="Arial" w:cs="Arial" w:eastAsia="Arial" w:hAnsi="Arial"/>
                <w:sz w:val="16"/>
                <w:szCs w:val="16"/>
                <w:color w:val="auto"/>
                <w:w w:val="95"/>
              </w:rPr>
              <w:t>Employee compensation and benefits (including equity-based compensation</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4,169</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(1,392 )</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6"/>
                <w:szCs w:val="16"/>
                <w:color w:val="auto"/>
              </w:rPr>
              <w:t>expense)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Facility and other</w:t>
            </w:r>
          </w:p>
        </w:tc>
        <w:tc>
          <w:tcPr>
            <w:tcW w:w="320" w:type="dxa"/>
            <w:vAlign w:val="bottom"/>
            <w:shd w:val="clear" w:color="auto" w:fill="CCEEFF"/>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FF0FC"/>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Pr>
          <w:p>
            <w:pPr>
              <w:ind w:left="540"/>
              <w:spacing w:after="0"/>
              <w:rPr>
                <w:sz w:val="20"/>
                <w:szCs w:val="20"/>
                <w:color w:val="auto"/>
              </w:rPr>
            </w:pPr>
            <w:r>
              <w:rPr>
                <w:rFonts w:ascii="Arial" w:cs="Arial" w:eastAsia="Arial" w:hAnsi="Arial"/>
                <w:sz w:val="16"/>
                <w:szCs w:val="16"/>
                <w:color w:val="auto"/>
              </w:rPr>
              <w:t>Total internal costs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7,385</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(1,744 )</w:t>
            </w: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research and development expense</w:t>
            </w:r>
          </w:p>
        </w:tc>
        <w:tc>
          <w:tcPr>
            <w:tcW w:w="3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14,610</w:t>
            </w: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35"/>
        </w:trPr>
        <w:tc>
          <w:tcPr>
            <w:tcW w:w="5300" w:type="dxa"/>
            <w:vAlign w:val="bottom"/>
          </w:tcPr>
          <w:p>
            <w:pPr>
              <w:spacing w:after="0"/>
              <w:rPr>
                <w:sz w:val="24"/>
                <w:szCs w:val="24"/>
                <w:color w:val="auto"/>
              </w:rPr>
            </w:pPr>
          </w:p>
        </w:tc>
        <w:tc>
          <w:tcPr>
            <w:tcW w:w="1480" w:type="dxa"/>
            <w:vAlign w:val="bottom"/>
            <w:gridSpan w:val="2"/>
          </w:tcPr>
          <w:p>
            <w:pPr>
              <w:jc w:val="right"/>
              <w:ind w:right="979"/>
              <w:spacing w:after="0"/>
              <w:rPr>
                <w:sz w:val="20"/>
                <w:szCs w:val="20"/>
                <w:color w:val="auto"/>
              </w:rPr>
            </w:pPr>
            <w:r>
              <w:rPr>
                <w:rFonts w:ascii="Arial" w:cs="Arial" w:eastAsia="Arial" w:hAnsi="Arial"/>
                <w:sz w:val="18"/>
                <w:szCs w:val="18"/>
                <w:color w:val="auto"/>
              </w:rPr>
              <w:t>18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-1602105</wp:posOffset>
            </wp:positionV>
            <wp:extent cx="7747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-1602105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-847725</wp:posOffset>
            </wp:positionV>
            <wp:extent cx="7747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-847725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-521970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-504825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-521970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-504825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decrease in research and development expense was primarily due to the following:</w:t>
      </w:r>
    </w:p>
    <w:p>
      <w:pPr>
        <w:spacing w:after="0" w:line="117" w:lineRule="exact"/>
        <w:rPr>
          <w:sz w:val="20"/>
          <w:szCs w:val="20"/>
          <w:color w:val="auto"/>
        </w:rPr>
      </w:pPr>
    </w:p>
    <w:p>
      <w:pPr>
        <w:ind w:left="1540" w:hanging="514"/>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research and development costs of $3.3 million, which primarily consisted of:</w:t>
      </w:r>
    </w:p>
    <w:p>
      <w:pPr>
        <w:spacing w:after="0" w:line="117" w:lineRule="exact"/>
        <w:rPr>
          <w:rFonts w:ascii="Arial" w:cs="Arial" w:eastAsia="Arial" w:hAnsi="Arial"/>
          <w:sz w:val="18"/>
          <w:szCs w:val="18"/>
          <w:color w:val="auto"/>
        </w:rPr>
      </w:pPr>
    </w:p>
    <w:p>
      <w:pPr>
        <w:ind w:left="2040" w:right="140" w:hanging="509"/>
        <w:spacing w:after="0" w:line="28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$3.7 million decrease in clinical, manufacturing and professional costs associated with SYNB1618 (earlier generation for Labafenogene marselecobac) for the Phase 2 Synpheny-1 study, SYNB8802 (achieved proof of concept in 2022), SYNB1353 (demonstrated proof of mechanism in 2022) and SYNB1891 (completed enrollment in November 2021);</w:t>
      </w:r>
    </w:p>
    <w:p>
      <w:pPr>
        <w:spacing w:after="0" w:line="5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$0.9 million decrease in other early development candidates and unallocated costs; and</w:t>
      </w:r>
    </w:p>
    <w:p>
      <w:pPr>
        <w:spacing w:after="0" w:line="117" w:lineRule="exact"/>
        <w:rPr>
          <w:rFonts w:ascii="Arial" w:cs="Arial" w:eastAsia="Arial" w:hAnsi="Arial"/>
          <w:sz w:val="18"/>
          <w:szCs w:val="18"/>
          <w:color w:val="auto"/>
        </w:rPr>
      </w:pPr>
    </w:p>
    <w:p>
      <w:pPr>
        <w:ind w:left="2040" w:right="68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offset by an increase of $1.3 million associated with clinical and manufacturing costs for Labafenogene marselecobac, currently being studied as a potential treatment for PKU in Synpheny-3, a global, pivotal Phase 3 study.</w:t>
      </w:r>
    </w:p>
    <w:p>
      <w:pPr>
        <w:spacing w:after="0" w:line="15"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 million decrease in internal research and development costs, which was primarily driven by reduced headcount and therefore lower compensation, benefits and other employee-related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General and administrative expense was $3.4 million for the three months ended September 30, 2023, compared to $4.4 million for the corresponding period in 2022. The decrease was primarily attributable to decreased professional services costs and lower compensation, benefits and other employee-related expenses due to reduced headcount.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Other income was $0.5 million for the three months ended September 30, 2023, compared to $0.4 million for the corresponding period in 2022. The increase in other income of $0.1 million was due to an increase in income earned on our cash, cash equivalents and short-term investment balances, primarily related to higher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Nine Months Ended September 30,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Nine Months Ended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2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6"/>
              </w:rPr>
              <w:t>September 30, 2023</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9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(472 )</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(4,574 )</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(1,494 )</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45,122</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51,190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(44,520 )</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(50,116 )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6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(42,736 )</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(49,451 )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9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(42,748 )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(49,451 )</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20" w:type="dxa"/>
            <w:vAlign w:val="bottom"/>
            <w:vMerge w:val="restart"/>
          </w:tcPr>
          <w:p>
            <w:pPr>
              <w:jc w:val="right"/>
              <w:ind w:right="810"/>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-1936750</wp:posOffset>
            </wp:positionV>
            <wp:extent cx="7747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-1936750</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-993775</wp:posOffset>
            </wp:positionV>
            <wp:extent cx="7747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-993775</wp:posOffset>
            </wp:positionV>
            <wp:extent cx="685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firstLine="509"/>
        <w:spacing w:after="0" w:line="308" w:lineRule="auto"/>
        <w:rPr>
          <w:sz w:val="20"/>
          <w:szCs w:val="20"/>
          <w:color w:val="auto"/>
        </w:rPr>
      </w:pPr>
      <w:r>
        <w:rPr>
          <w:rFonts w:ascii="Arial" w:cs="Arial" w:eastAsia="Arial" w:hAnsi="Arial"/>
          <w:sz w:val="17"/>
          <w:szCs w:val="17"/>
          <w:color w:val="auto"/>
        </w:rPr>
        <w:t>Revenue was $0.6 million for the nine months ended September 30, 2023, compared to $1.1 million for the corresponding period in 2022. Revenue for both periods was primarily related to services performed under the Roche collaboration that we entered into in June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Research and development expense was $33.8 million for the nine months ended September 30, 2023, compared to $38.4 million in the corresponding period in 2022, a decrease of $4.6 million. The following table summarizes our research and development expense for the nine months ended September 30, 2023 and 2022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6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w w:val="96"/>
              </w:rPr>
              <w:t>For the Nine Months Ended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costs by program:</w:t>
            </w:r>
          </w:p>
        </w:tc>
        <w:tc>
          <w:tcPr>
            <w:tcW w:w="1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40"/>
              <w:spacing w:after="0"/>
              <w:rPr>
                <w:sz w:val="20"/>
                <w:szCs w:val="20"/>
                <w:color w:val="auto"/>
              </w:rPr>
            </w:pPr>
            <w:r>
              <w:rPr>
                <w:rFonts w:ascii="Arial" w:cs="Arial" w:eastAsia="Arial" w:hAnsi="Arial"/>
                <w:sz w:val="16"/>
                <w:szCs w:val="16"/>
                <w:color w:val="auto"/>
              </w:rPr>
              <w:t>Labafenogene marselecobac (SYNB1934)</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2,489</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SYNB1618</w:t>
            </w:r>
          </w:p>
        </w:tc>
        <w:tc>
          <w:tcPr>
            <w:tcW w:w="1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(2,202 )</w:t>
            </w:r>
          </w:p>
        </w:tc>
        <w:tc>
          <w:tcPr>
            <w:tcW w:w="0" w:type="dxa"/>
            <w:vAlign w:val="bottom"/>
          </w:tcPr>
          <w:p>
            <w:pPr>
              <w:spacing w:after="0"/>
              <w:rPr>
                <w:sz w:val="1"/>
                <w:szCs w:val="1"/>
                <w:color w:val="auto"/>
              </w:rPr>
            </w:pPr>
          </w:p>
        </w:tc>
      </w:tr>
      <w:tr>
        <w:trPr>
          <w:trHeight w:val="237"/>
        </w:trPr>
        <w:tc>
          <w:tcPr>
            <w:tcW w:w="5640" w:type="dxa"/>
            <w:vAlign w:val="bottom"/>
          </w:tcPr>
          <w:p>
            <w:pPr>
              <w:ind w:left="140"/>
              <w:spacing w:after="0"/>
              <w:rPr>
                <w:sz w:val="20"/>
                <w:szCs w:val="20"/>
                <w:color w:val="auto"/>
              </w:rPr>
            </w:pPr>
            <w:r>
              <w:rPr>
                <w:rFonts w:ascii="Arial" w:cs="Arial" w:eastAsia="Arial" w:hAnsi="Arial"/>
                <w:sz w:val="16"/>
                <w:szCs w:val="16"/>
                <w:color w:val="auto"/>
              </w:rPr>
              <w:t>SYNB8802</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(2,162 )</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SYNB1353</w:t>
            </w:r>
          </w:p>
        </w:tc>
        <w:tc>
          <w:tcPr>
            <w:tcW w:w="1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(1,136 )</w:t>
            </w:r>
          </w:p>
        </w:tc>
        <w:tc>
          <w:tcPr>
            <w:tcW w:w="0" w:type="dxa"/>
            <w:vAlign w:val="bottom"/>
          </w:tcPr>
          <w:p>
            <w:pPr>
              <w:spacing w:after="0"/>
              <w:rPr>
                <w:sz w:val="1"/>
                <w:szCs w:val="1"/>
                <w:color w:val="auto"/>
              </w:rPr>
            </w:pPr>
          </w:p>
        </w:tc>
      </w:tr>
      <w:tr>
        <w:trPr>
          <w:trHeight w:val="237"/>
        </w:trPr>
        <w:tc>
          <w:tcPr>
            <w:tcW w:w="5640" w:type="dxa"/>
            <w:vAlign w:val="bottom"/>
          </w:tcPr>
          <w:p>
            <w:pPr>
              <w:ind w:left="140"/>
              <w:spacing w:after="0"/>
              <w:rPr>
                <w:sz w:val="20"/>
                <w:szCs w:val="20"/>
                <w:color w:val="auto"/>
              </w:rPr>
            </w:pPr>
            <w:r>
              <w:rPr>
                <w:rFonts w:ascii="Arial" w:cs="Arial" w:eastAsia="Arial" w:hAnsi="Arial"/>
                <w:sz w:val="16"/>
                <w:szCs w:val="16"/>
                <w:color w:val="auto"/>
              </w:rPr>
              <w:t>SYNB1891</w:t>
            </w:r>
          </w:p>
        </w:tc>
        <w:tc>
          <w:tcPr>
            <w:tcW w:w="1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(135 )</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External pre-development candidate costs</w:t>
            </w:r>
          </w:p>
        </w:tc>
        <w:tc>
          <w:tcPr>
            <w:tcW w:w="116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(1,911 )</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unallocated costs</w:t>
            </w:r>
          </w:p>
        </w:tc>
        <w:tc>
          <w:tcPr>
            <w:tcW w:w="1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40" w:type="dxa"/>
            <w:vAlign w:val="bottom"/>
          </w:tcPr>
          <w:p>
            <w:pPr>
              <w:ind w:left="580"/>
              <w:spacing w:after="0"/>
              <w:rPr>
                <w:sz w:val="20"/>
                <w:szCs w:val="20"/>
                <w:color w:val="auto"/>
              </w:rPr>
            </w:pPr>
            <w:r>
              <w:rPr>
                <w:rFonts w:ascii="Arial" w:cs="Arial" w:eastAsia="Arial" w:hAnsi="Arial"/>
                <w:sz w:val="16"/>
                <w:szCs w:val="16"/>
                <w:color w:val="auto"/>
              </w:rPr>
              <w:t>Total external costs</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(1,863 )</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Internal costs:</w:t>
            </w:r>
          </w:p>
        </w:tc>
        <w:tc>
          <w:tcPr>
            <w:tcW w:w="116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140"/>
              <w:spacing w:after="0"/>
              <w:rPr>
                <w:sz w:val="20"/>
                <w:szCs w:val="20"/>
                <w:color w:val="auto"/>
              </w:rPr>
            </w:pPr>
            <w:r>
              <w:rPr>
                <w:rFonts w:ascii="Arial" w:cs="Arial" w:eastAsia="Arial" w:hAnsi="Arial"/>
                <w:sz w:val="16"/>
                <w:szCs w:val="16"/>
                <w:color w:val="auto"/>
              </w:rPr>
              <w:t>Employee compensation and benefits (including equity-based compensation</w:t>
            </w:r>
          </w:p>
        </w:tc>
        <w:tc>
          <w:tcPr>
            <w:tcW w:w="1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12,450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(1,881 )</w:t>
            </w:r>
          </w:p>
        </w:tc>
        <w:tc>
          <w:tcPr>
            <w:tcW w:w="0" w:type="dxa"/>
            <w:vAlign w:val="bottom"/>
          </w:tcPr>
          <w:p>
            <w:pPr>
              <w:spacing w:after="0"/>
              <w:rPr>
                <w:sz w:val="1"/>
                <w:szCs w:val="1"/>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6"/>
                <w:szCs w:val="16"/>
                <w:color w:val="auto"/>
              </w:rPr>
              <w:t>expense)</w:t>
            </w:r>
          </w:p>
        </w:tc>
        <w:tc>
          <w:tcPr>
            <w:tcW w:w="1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Facility and other</w:t>
            </w:r>
          </w:p>
        </w:tc>
        <w:tc>
          <w:tcPr>
            <w:tcW w:w="1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8,875</w:t>
            </w:r>
          </w:p>
        </w:tc>
        <w:tc>
          <w:tcPr>
            <w:tcW w:w="120" w:type="dxa"/>
            <w:vAlign w:val="bottom"/>
            <w:shd w:val="clear" w:color="auto" w:fill="CFF0FC"/>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Pr>
          <w:p>
            <w:pPr>
              <w:ind w:left="540"/>
              <w:spacing w:after="0"/>
              <w:rPr>
                <w:sz w:val="20"/>
                <w:szCs w:val="20"/>
                <w:color w:val="auto"/>
              </w:rPr>
            </w:pPr>
            <w:r>
              <w:rPr>
                <w:rFonts w:ascii="Arial" w:cs="Arial" w:eastAsia="Arial" w:hAnsi="Arial"/>
                <w:sz w:val="16"/>
                <w:szCs w:val="16"/>
                <w:color w:val="auto"/>
              </w:rPr>
              <w:t>Total internal costs</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(2,711 )</w:t>
            </w:r>
          </w:p>
        </w:tc>
        <w:tc>
          <w:tcPr>
            <w:tcW w:w="0" w:type="dxa"/>
            <w:vAlign w:val="bottom"/>
          </w:tcPr>
          <w:p>
            <w:pPr>
              <w:spacing w:after="0"/>
              <w:rPr>
                <w:sz w:val="1"/>
                <w:szCs w:val="1"/>
                <w:color w:val="auto"/>
              </w:rPr>
            </w:pP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33,831</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38,405</w:t>
            </w:r>
          </w:p>
        </w:tc>
        <w:tc>
          <w:tcPr>
            <w:tcW w:w="40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-1104900</wp:posOffset>
            </wp:positionV>
            <wp:extent cx="768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-1104900</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-350520</wp:posOffset>
            </wp:positionV>
            <wp:extent cx="7683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-350520</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in research and development expense was primarily due to the following:</w:t>
      </w:r>
    </w:p>
    <w:p>
      <w:pPr>
        <w:spacing w:after="0" w:line="117" w:lineRule="exact"/>
        <w:rPr>
          <w:sz w:val="20"/>
          <w:szCs w:val="20"/>
          <w:color w:val="auto"/>
        </w:rPr>
      </w:pPr>
    </w:p>
    <w:p>
      <w:pPr>
        <w:ind w:left="1540" w:hanging="514"/>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research and development costs of $1.9 million, which primarily consisted of:</w:t>
      </w:r>
    </w:p>
    <w:p>
      <w:pPr>
        <w:spacing w:after="0" w:line="117" w:lineRule="exact"/>
        <w:rPr>
          <w:rFonts w:ascii="Arial" w:cs="Arial" w:eastAsia="Arial" w:hAnsi="Arial"/>
          <w:sz w:val="18"/>
          <w:szCs w:val="18"/>
          <w:color w:val="auto"/>
        </w:rPr>
      </w:pPr>
    </w:p>
    <w:p>
      <w:pPr>
        <w:ind w:left="2040" w:right="140" w:hanging="509"/>
        <w:spacing w:after="0" w:line="28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$6.1 million decrease in clinical, manufacturing and professional costs associated with SYNB1618 (earlier generation for Labafenogene marselecobac) for the Phase 2 Synpheny-1 study, SYNB8802 (achieved proof of concept in 2022), SYNB1353 (demonstrated proof of mechanism in 2022) and SYNB1891 (completed enrollment in November 2021);</w:t>
      </w:r>
    </w:p>
    <w:p>
      <w:pPr>
        <w:spacing w:after="0" w:line="5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$1.9 million decrease in other early development candidates and unallocated costs; and</w:t>
      </w:r>
    </w:p>
    <w:p>
      <w:pPr>
        <w:spacing w:after="0" w:line="117" w:lineRule="exact"/>
        <w:rPr>
          <w:rFonts w:ascii="Arial" w:cs="Arial" w:eastAsia="Arial" w:hAnsi="Arial"/>
          <w:sz w:val="18"/>
          <w:szCs w:val="18"/>
          <w:color w:val="auto"/>
        </w:rPr>
      </w:pPr>
    </w:p>
    <w:p>
      <w:pPr>
        <w:ind w:left="2040" w:right="68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offset by an increase of $6.1 million associated with clinical and manufacturing costs for Labafenogene marselecobac, currently being studied as a potential treatment for PKU in Synpheny-3, a global, pivotal Phase 3 study.</w:t>
      </w:r>
    </w:p>
    <w:p>
      <w:pPr>
        <w:spacing w:after="0" w:line="15"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 million decrease in internal research and development costs, which was primarily driven by reduced headcount and therefore lower compensation, benefits and other employee-related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General and administrative expense was $11.3 million for the nine months ended September 30, 2023, compared to $12.8 million for the corresponding period in 2022. The decrease was primarily attributable to decreased professional services costs, and lower compensation, benefits and other employee-related expenses due to reduced headcount.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Other income was $1.8 million for the nine months ended September 30, 2023, compared to $0.7 million for the corresponding period in 2022. The increase in other income of $1.1 million was due to an increase in income earned on our cash, cash equivalents and short-term investment balances, primarily related to higher interest rates.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have incurred losses since our inception on March 14, 2014 and, as of September 30, 2023, we had an accumulated deficit of approximately $399.8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September 30, 2023, we had approximately $33.4 million in cash and cash equivalents. Our cash and cash equivalents include amounts held in money market funds, commercial paper, and U.S. treasuries, stated at cost plus unrealized gain and loss, which approximates fair market value. During the nine months ended September 30, 2023 our available-for-sale securities include amounts held in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9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During the nine months ended September 30, 2023, our cash, cash equivalents and short-term marketable securities balance decreased by approximately $44.2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253"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6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6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w w:val="74"/>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cash equivalents and restricted cash provided by (used in)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2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98"/>
              <w:spacing w:after="0"/>
              <w:rPr>
                <w:sz w:val="20"/>
                <w:szCs w:val="20"/>
                <w:color w:val="auto"/>
              </w:rPr>
            </w:pPr>
            <w:r>
              <w:rPr>
                <w:rFonts w:ascii="Arial" w:cs="Arial" w:eastAsia="Arial" w:hAnsi="Arial"/>
                <w:sz w:val="18"/>
                <w:szCs w:val="18"/>
                <w:color w:val="auto"/>
              </w:rPr>
              <w:t>(46,086 )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(44,495 )</w:t>
            </w:r>
          </w:p>
        </w:tc>
      </w:tr>
      <w:tr>
        <w:trPr>
          <w:trHeight w:val="249"/>
        </w:trPr>
        <w:tc>
          <w:tcPr>
            <w:tcW w:w="6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53,397</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43,490</w:t>
            </w:r>
          </w:p>
        </w:tc>
        <w:tc>
          <w:tcPr>
            <w:tcW w:w="80" w:type="dxa"/>
            <w:vAlign w:val="bottom"/>
            <w:shd w:val="clear" w:color="auto" w:fill="CFF0FC"/>
          </w:tcPr>
          <w:p>
            <w:pPr>
              <w:spacing w:after="0"/>
              <w:rPr>
                <w:sz w:val="21"/>
                <w:szCs w:val="21"/>
                <w:color w:val="auto"/>
              </w:rPr>
            </w:pPr>
          </w:p>
        </w:tc>
      </w:tr>
      <w:tr>
        <w:trPr>
          <w:trHeight w:val="237"/>
        </w:trPr>
        <w:tc>
          <w:tcPr>
            <w:tcW w:w="626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r>
      <w:tr>
        <w:trPr>
          <w:trHeight w:val="276"/>
        </w:trPr>
        <w:tc>
          <w:tcPr>
            <w:tcW w:w="6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8,675</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cash equivalents and restricted cash used in operating activities was approximately $46.1 million for the nine months ended September 30,</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2023. The primary use of cash was our net loss of $42.7 million, changes in our assets and liabilities of $8.9 million, partially offset by $5.5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 Net cash, cash equivalents and restricted cash used in operating activities for future periods are expected to be lower than the amounts reported for the three and nine months ended September 30, 2023, primarily due to the Company's prioritization of resources on it's PKU program.</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cash equivalents and restricted cash used in operating activities was approximately $44.5 million for the nine months ended September 30,</w:t>
      </w:r>
    </w:p>
    <w:p>
      <w:pPr>
        <w:spacing w:after="0" w:line="4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2022. The primary use of cash was our net loss of $49.5 million, changes in our assets and liabilities of $1.7 million, partially offset by $6.7 million of non-cash items primarily including depreciation, equity-based compensation, and the right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4" w:name="page25"/>
    <w:bookmarkEnd w:id="24"/>
    <w:p>
      <w:pPr>
        <w:jc w:val="both"/>
        <w:ind w:right="520"/>
        <w:spacing w:after="0" w:line="259" w:lineRule="auto"/>
        <w:rPr>
          <w:sz w:val="20"/>
          <w:szCs w:val="20"/>
          <w:color w:val="auto"/>
        </w:rPr>
      </w:pPr>
      <w:r>
        <w:rPr>
          <w:rFonts w:ascii="Arial" w:cs="Arial" w:eastAsia="Arial" w:hAnsi="Arial"/>
          <w:sz w:val="18"/>
          <w:szCs w:val="18"/>
          <w:color w:val="auto"/>
        </w:rPr>
        <w:t>of use asset. The changes in our assets and liabilities include decreases in prepaid research and development expenses, as a result of the work being completed on the Ginkgo collaboration, decreases in the operating lease liability, decreases in prepaid expenses and other current assets, increases in accounts receivable as a result of having earned a milestone with the Roche collaboration in August 2022, increases in accounts payable and accrued expenses, and increases in deferred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2023 was $53.4 million and resulted primarily from the proceeds from maturity of marketable securities of $62.4 million. This was offset by the purchases of marketable securities of $8.8 million and of property and equipment of $0.2 million.</w:t>
      </w:r>
    </w:p>
    <w:p>
      <w:pPr>
        <w:spacing w:after="0" w:line="76"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2022 was $43.5 million and resulted primarily from the proceeds from maturity of marketable securities of $110.4 million. This was offset by the purchases of marketable securities of $66.2 million and property and equipment of $0.7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2023 totaled $1.4 million, primarily related to net proceeds of $1.2 million from the sale of our common stock in the ATM offering program and $0.2 million from ESPP contributions.</w:t>
      </w:r>
    </w:p>
    <w:p>
      <w:pPr>
        <w:spacing w:after="0" w:line="62" w:lineRule="exact"/>
        <w:rPr>
          <w:sz w:val="20"/>
          <w:szCs w:val="20"/>
          <w:color w:val="auto"/>
        </w:rPr>
      </w:pPr>
    </w:p>
    <w:p>
      <w:pPr>
        <w:ind w:right="960" w:firstLine="509"/>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2022 totaled $0.2 million, primarily related to ESPP contributions.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 xml:space="preserve">We are currently generating revenue from our Roche collaboration and have historically generated revenue from previous collaborations, but have not generated any product revenue since our inception and do not expect to generate any product revenue unless we receive regulatory approval for our product candidates. Inclusive of the net cash proceeds received in October 2023 from the sale of the Company's common stock, as further described in Note 14, </w:t>
      </w:r>
      <w:r>
        <w:rPr>
          <w:rFonts w:ascii="Arial" w:cs="Arial" w:eastAsia="Arial" w:hAnsi="Arial"/>
          <w:sz w:val="16"/>
          <w:szCs w:val="16"/>
          <w:i w:val="1"/>
          <w:iCs w:val="1"/>
          <w:color w:val="auto"/>
        </w:rPr>
        <w:t>Subsequent Events</w:t>
      </w:r>
      <w:r>
        <w:rPr>
          <w:rFonts w:ascii="Arial" w:cs="Arial" w:eastAsia="Arial" w:hAnsi="Arial"/>
          <w:sz w:val="16"/>
          <w:szCs w:val="16"/>
          <w:color w:val="auto"/>
        </w:rPr>
        <w:t>, we believe that our cash and cash equivalents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65"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or by other health epidemics or pandemics;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IA. “Risk Factors”.</w:t>
      </w:r>
    </w:p>
    <w:p>
      <w:pPr>
        <w:spacing w:after="0" w:line="22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As a clinical-stage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 xml:space="preserve">There have been no material changes to our contractual obligations and commitments set forth under the heading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 Contractual Obligations and Commitments” </w:t>
      </w:r>
      <w:r>
        <w:rPr>
          <w:rFonts w:ascii="Arial" w:cs="Arial" w:eastAsia="Arial" w:hAnsi="Arial"/>
          <w:sz w:val="16"/>
          <w:szCs w:val="16"/>
          <w:color w:val="auto"/>
        </w:rPr>
        <w:t>in our 2022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May 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September 30, 2023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8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20" w:right="3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20" w:right="4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20" w:right="4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503"/>
        <w:spacing w:after="0" w:line="277" w:lineRule="auto"/>
        <w:rPr>
          <w:sz w:val="20"/>
          <w:szCs w:val="20"/>
          <w:color w:val="auto"/>
        </w:rPr>
      </w:pPr>
      <w:r>
        <w:rPr>
          <w:rFonts w:ascii="Arial" w:cs="Arial" w:eastAsia="Arial" w:hAnsi="Arial"/>
          <w:sz w:val="18"/>
          <w:szCs w:val="18"/>
          <w:color w:val="auto"/>
        </w:rPr>
        <w:t>adequate insurance or are required to pay for liabilities resulting from a claim excluded from, or beyond the limits of, our insurance coverage, such liability could adversely affect our financial condition.</w:t>
      </w:r>
    </w:p>
    <w:p>
      <w:pPr>
        <w:spacing w:after="0" w:line="62" w:lineRule="exact"/>
        <w:rPr>
          <w:sz w:val="20"/>
          <w:szCs w:val="20"/>
          <w:color w:val="auto"/>
        </w:rPr>
      </w:pPr>
    </w:p>
    <w:p>
      <w:pPr>
        <w:ind w:left="503" w:right="80" w:hanging="503"/>
        <w:spacing w:after="0" w:line="342" w:lineRule="auto"/>
        <w:tabs>
          <w:tab w:leader="none" w:pos="5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15" w:lineRule="exact"/>
        <w:rPr>
          <w:rFonts w:ascii="Arial" w:cs="Arial" w:eastAsia="Arial" w:hAnsi="Arial"/>
          <w:sz w:val="16"/>
          <w:szCs w:val="16"/>
          <w:color w:val="auto"/>
        </w:rPr>
      </w:pPr>
    </w:p>
    <w:p>
      <w:pPr>
        <w:ind w:left="503" w:hanging="503"/>
        <w:spacing w:after="0"/>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3" w:right="440" w:hanging="503"/>
        <w:spacing w:after="0" w:line="342" w:lineRule="auto"/>
        <w:tabs>
          <w:tab w:leader="none" w:pos="5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3" w:right="120" w:hanging="503"/>
        <w:spacing w:after="0" w:line="259"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3" w:right="18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spacing w:after="0" w:line="62" w:lineRule="exact"/>
        <w:rPr>
          <w:rFonts w:ascii="Arial" w:cs="Arial" w:eastAsia="Arial" w:hAnsi="Arial"/>
          <w:sz w:val="18"/>
          <w:szCs w:val="18"/>
          <w:color w:val="auto"/>
        </w:rPr>
      </w:pPr>
    </w:p>
    <w:p>
      <w:pPr>
        <w:ind w:left="503" w:right="64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Synthetic Biotics, product candidates and processes for our development pipeline through acquisitions and in-licenses.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17" w:lineRule="exact"/>
        <w:rPr>
          <w:rFonts w:ascii="Arial" w:cs="Arial" w:eastAsia="Arial" w:hAnsi="Arial"/>
          <w:sz w:val="18"/>
          <w:szCs w:val="18"/>
          <w:color w:val="auto"/>
        </w:rPr>
      </w:pPr>
    </w:p>
    <w:p>
      <w:pPr>
        <w:ind w:left="503" w:right="22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17"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503" w:right="40" w:hanging="503"/>
        <w:spacing w:after="0" w:line="263"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3" w:right="400" w:hanging="503"/>
        <w:spacing w:after="0" w:line="277" w:lineRule="auto"/>
        <w:tabs>
          <w:tab w:leader="none" w:pos="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3" w:right="100" w:hanging="503"/>
        <w:spacing w:after="0" w:line="311" w:lineRule="auto"/>
        <w:tabs>
          <w:tab w:leader="none" w:pos="5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3" w:hanging="503"/>
        <w:spacing w:after="0"/>
        <w:tabs>
          <w:tab w:leader="none" w:pos="5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40" w:lineRule="exact"/>
        <w:rPr>
          <w:rFonts w:ascii="Arial" w:cs="Arial" w:eastAsia="Arial" w:hAnsi="Arial"/>
          <w:sz w:val="16"/>
          <w:szCs w:val="16"/>
          <w:color w:val="auto"/>
        </w:rPr>
      </w:pPr>
    </w:p>
    <w:p>
      <w:pPr>
        <w:ind w:left="503" w:right="300" w:hanging="503"/>
        <w:spacing w:after="0" w:line="308" w:lineRule="auto"/>
        <w:tabs>
          <w:tab w:leader="none" w:pos="5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146"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29" w:name="page30"/>
    <w:bookmarkEnd w:id="29"/>
    <w:p>
      <w:pPr>
        <w:ind w:left="1020" w:right="20" w:hanging="503"/>
        <w:spacing w:after="0" w:line="30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rFonts w:ascii="Arial" w:cs="Arial" w:eastAsia="Arial" w:hAnsi="Arial"/>
          <w:sz w:val="17"/>
          <w:szCs w:val="17"/>
          <w:color w:val="auto"/>
        </w:rPr>
      </w:pPr>
    </w:p>
    <w:p>
      <w:pPr>
        <w:ind w:left="1020" w:right="2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Synthetic Biotics and we have incurred significant operating losses since our inception. Our net loss was approximately $12.1 million and $42.7 million for the three and nine months ended September 30, 2023, respectively, and $17.9 million and $49.5 million for the three and nine months ended September 30, 2022, respectively. As of September 30, 2023, we had an accumulated deficit of approximately $399.8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7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100"/>
        <w:spacing w:after="0" w:line="275" w:lineRule="auto"/>
        <w:rPr>
          <w:sz w:val="20"/>
          <w:szCs w:val="20"/>
          <w:color w:val="auto"/>
        </w:rPr>
      </w:pPr>
      <w:r>
        <w:rPr>
          <w:rFonts w:ascii="Arial" w:cs="Arial" w:eastAsia="Arial" w:hAnsi="Arial"/>
          <w:sz w:val="17"/>
          <w:szCs w:val="17"/>
          <w:color w:val="auto"/>
        </w:rPr>
        <w:t>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6" w:lineRule="exact"/>
        <w:rPr>
          <w:sz w:val="20"/>
          <w:szCs w:val="20"/>
          <w:color w:val="auto"/>
        </w:rPr>
      </w:pPr>
    </w:p>
    <w:p>
      <w:pPr>
        <w:ind w:right="400" w:firstLine="509"/>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milestones with our collaborators, such as Roche;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macro-economic factors outside of our control.</w:t>
      </w:r>
    </w:p>
    <w:p>
      <w:pPr>
        <w:spacing w:after="0" w:line="22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20" w:right="4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1" w:name="page32"/>
    <w:bookmarkEnd w:id="31"/>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Perspectives on synthetic biology and genetic engineering;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Perspectives on the programs of competitors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disruptions caused by natural disasters;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88"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00"/>
        <w:spacing w:after="0" w:line="259" w:lineRule="auto"/>
        <w:rPr>
          <w:sz w:val="20"/>
          <w:szCs w:val="20"/>
          <w:color w:val="auto"/>
        </w:rPr>
      </w:pPr>
      <w:r>
        <w:rPr>
          <w:rFonts w:ascii="Arial" w:cs="Arial" w:eastAsia="Arial" w:hAnsi="Arial"/>
          <w:sz w:val="18"/>
          <w:szCs w:val="18"/>
          <w:color w:val="auto"/>
        </w:rPr>
        <w:t>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58"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access to working capital 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or credit or other credit support arrangements; or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termination of cash management arrangements and/or delays in accessing or actual loss of funds subject to cash management arrangements.</w:t>
      </w:r>
    </w:p>
    <w:p>
      <w:pPr>
        <w:spacing w:after="0" w:line="14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6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20" w:right="1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Inability to generate satisfactory preclinical or other nonclinical data, including,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or diagnostics to support the initiation or continuation of clinical trials;</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20" w:right="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20" w:right="44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including demonstrating proof of concept for labafenogene marselecobac (SYNB1934) for PKU, proof of concept for SYNB8802 for enteric hyperoxaluria, and proof of mechanism for SYNB1353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6"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required to conduct additional clinical trials or costly post-marketing testing and surveillance to monitor the safety of the product;</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ind w:right="10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addition, among our product candidates, only labafenogene marselecobac has advanced into a pivotal clinical trial for its proposed indication, and it may be years before any pivotal clinical trials are initiated for our other products and completed for any, including labafenogene marselecobac,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May 2023, the FDA granted orphan drug designation to labafenogene marselecobac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March 2023, the EMA issued a positive opinion on our application for orphan designation for labafenogene marselecobac for the treatment of PKU. In November 2022, we received orphan drug designation from the FDA for SYNB1353 as a potential treatment for HCU.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Even though we have obtained orphan drug designation for some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17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January 2023, labafenogene marselecobac received RPDD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6" w:name="page37"/>
    <w:bookmarkEnd w:id="36"/>
    <w:p>
      <w:pPr>
        <w:ind w:right="60"/>
        <w:spacing w:after="0" w:line="286" w:lineRule="auto"/>
        <w:rPr>
          <w:sz w:val="20"/>
          <w:szCs w:val="20"/>
          <w:color w:val="auto"/>
        </w:rPr>
      </w:pPr>
      <w:r>
        <w:rPr>
          <w:rFonts w:ascii="Arial" w:cs="Arial" w:eastAsia="Arial" w:hAnsi="Arial"/>
          <w:sz w:val="17"/>
          <w:szCs w:val="17"/>
          <w:color w:val="auto"/>
        </w:rPr>
        <w:t>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65"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80" w:firstLine="8"/>
        <w:spacing w:after="0" w:line="268"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though we received rare pediatric disease designation for labafenogene marselecobac and SYNB1353 by the current statutory deadline of September 30, 2024 we may not receive the voucher if we do not obtain approval by September 2026.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8"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150,000 patients that may be diagnosed with PKU in the United States, Europe and Asia.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20"/>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6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key employees;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38"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Over the past several years, the coronavirus outbreak has affected segments of the global economy and it may continue to materially affect our operations,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including surges in cases,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 COVID-19 may also affect employees of third-party contract research organizations and contract manufacturing organizations located in affected geographies that we rely upon to carry out our clinical trials.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and in the Middle East, has created extreme volatility in the global capital markets and is expected to have further global economic consequences, including disruptions of the global supply chain and energy markets. A recession or market correction resulting from the continued spread of COVID-19 or the geopolitical tensions in Russia and Ukraine, and in the Middle East, could materially affect our business and the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62"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comparable foreign regulatory authorities in order to support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360" w:hanging="503"/>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1020" w:right="3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9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09"/>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76"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labafenogene marselecobac) in April 2018, for labofenogene marselecobac in July 2023,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5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1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20" w:firstLine="509"/>
        <w:spacing w:after="0" w:line="255" w:lineRule="auto"/>
        <w:rPr>
          <w:sz w:val="20"/>
          <w:szCs w:val="20"/>
          <w:color w:val="auto"/>
        </w:rPr>
      </w:pPr>
      <w:r>
        <w:rPr>
          <w:rFonts w:ascii="Arial" w:cs="Arial" w:eastAsia="Arial" w:hAnsi="Arial"/>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300"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financial condition or results of operations.</w:t>
      </w:r>
    </w:p>
    <w:p>
      <w:pPr>
        <w:spacing w:after="0" w:line="12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88"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300"/>
        <w:spacing w:after="0" w:line="277" w:lineRule="auto"/>
        <w:rPr>
          <w:sz w:val="20"/>
          <w:szCs w:val="20"/>
          <w:color w:val="auto"/>
        </w:rPr>
      </w:pPr>
      <w:r>
        <w:rPr>
          <w:rFonts w:ascii="Arial" w:cs="Arial" w:eastAsia="Arial" w:hAnsi="Arial"/>
          <w:sz w:val="18"/>
          <w:szCs w:val="18"/>
          <w:color w:val="auto"/>
        </w:rPr>
        <w:t>and biological products covered under Medicare Part B report the product’s average sales price, or ASP, to HHS subject to enforcement via civil money penalties.</w:t>
      </w:r>
    </w:p>
    <w:p>
      <w:pPr>
        <w:spacing w:after="0" w:line="1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For example, in July 2021, President Biden issued a sweeping executive order on promoting competition in the American economy that included several mandates pertaining to the pharmaceutical and health care insurance industries and called on HHS to release a comprehensive plan to combat high prescription drug prices.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w:t>
      </w:r>
    </w:p>
    <w:p>
      <w:pPr>
        <w:spacing w:after="0" w:line="17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The effect of the IRA on our business and the healthcare industry in general is not yet known. There remains a large amount of uncertainty regarding the federal government’s approach to making pharmaceutical treatment costs more affordable for patients.</w:t>
      </w:r>
    </w:p>
    <w:p>
      <w:pPr>
        <w:spacing w:after="0" w:line="194"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340" w:firstLine="509"/>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20" w:right="6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20" w:right="140" w:hanging="503"/>
        <w:spacing w:after="0" w:line="30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20" w:right="540" w:hanging="503"/>
        <w:spacing w:after="0" w:line="30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20" w:right="60" w:hanging="503"/>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8"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many activities, including the conduct of clinical trials, we are subject to laws and regulations governing data privacy and the protection of health-related and other personal information. The regulatory framework for collecting, using, safeguarding, sharing, transferring and other processing of information worldwide is rapidly evolving and is likely to remain uncertain for the foreseeable future.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on May 25, 2018. The withdrawal of the United Kingdom from the European Union and the subsequent separation of the data protection regimes of these territories mean we are required to comply with separate data protection laws in the European Union and the United Kingdom, which may lead to additional compliance costs and could increase our overall risk. Similar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0"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In addition, California enacted the California Consumer Privacy Act (the CCPA), which took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became enforceable by the California Attorney General on July 1, 2020, and has been dubbed the first “GDPR-like” law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right="80"/>
        <w:spacing w:after="0" w:line="287" w:lineRule="auto"/>
        <w:rPr>
          <w:sz w:val="20"/>
          <w:szCs w:val="20"/>
          <w:color w:val="auto"/>
        </w:rPr>
      </w:pPr>
      <w:r>
        <w:rPr>
          <w:rFonts w:ascii="Arial" w:cs="Arial" w:eastAsia="Arial" w:hAnsi="Arial"/>
          <w:sz w:val="16"/>
          <w:szCs w:val="16"/>
          <w:color w:val="auto"/>
        </w:rPr>
        <w:t>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Connecticut, Utah and Colorado) or proposed in other states and at the federal level, and if passed, such laws may have potentially conflicting requirements that would make compliance challenging.</w:t>
      </w:r>
    </w:p>
    <w:p>
      <w:pPr>
        <w:spacing w:after="0" w:line="1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60" w:firstLine="509"/>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The number and complexity of these threats continue to increase over time.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8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8"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8" w:name="page49"/>
    <w:bookmarkEnd w:id="48"/>
    <w:p>
      <w:pPr>
        <w:ind w:right="20" w:firstLine="509"/>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3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color w:val="auto"/>
        </w:rPr>
        <w:t>properly legalize and submit formal documents. In any such event, our competitors might be able to enter the market, which would have a material adverse effect on our business.</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40" w:firstLine="509"/>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ind w:right="200" w:firstLine="509"/>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40" w:firstLine="509"/>
        <w:spacing w:after="0" w:line="271"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30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For example, we have agreements with Azzur Cleanrooms-On-Demand to lease clean-room space at their facility for manufacturing and formulation of cGMP 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spacing w:after="0" w:line="287" w:lineRule="auto"/>
        <w:rPr>
          <w:sz w:val="20"/>
          <w:szCs w:val="20"/>
          <w:color w:val="auto"/>
        </w:rPr>
      </w:pPr>
      <w:r>
        <w:rPr>
          <w:rFonts w:ascii="Arial" w:cs="Arial" w:eastAsia="Arial" w:hAnsi="Arial"/>
          <w:sz w:val="16"/>
          <w:szCs w:val="16"/>
          <w:color w:val="auto"/>
        </w:rPr>
        <w:t>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7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20" w:right="6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 which may impact our potential economic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7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09"/>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w:t>
      </w:r>
    </w:p>
    <w:p>
      <w:pPr>
        <w:spacing w:after="0" w:line="17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20" w:right="5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140" w:firstLine="509"/>
        <w:spacing w:after="0" w:line="288" w:lineRule="auto"/>
        <w:rPr>
          <w:sz w:val="20"/>
          <w:szCs w:val="20"/>
          <w:color w:val="auto"/>
        </w:rPr>
      </w:pPr>
      <w:r>
        <w:rPr>
          <w:rFonts w:ascii="Arial" w:cs="Arial" w:eastAsia="Arial" w:hAnsi="Arial"/>
          <w:sz w:val="16"/>
          <w:szCs w:val="16"/>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9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6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64" w:lineRule="exact"/>
        <w:rPr>
          <w:sz w:val="20"/>
          <w:szCs w:val="20"/>
          <w:color w:val="auto"/>
        </w:rPr>
      </w:pPr>
    </w:p>
    <w:p>
      <w:pPr>
        <w:ind w:right="280" w:firstLine="509"/>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5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2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Based on the beneficial ownership of our common stock as of November 2, 2023, our executive officers and directors, together with holders of 5% or more of our common stock outstanding and their respective affiliates, beneficially own approximately 53.0%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November 2, 2023, there were a total of 9,189,353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0" w:name="page61"/>
    <w:bookmarkEnd w:id="60"/>
    <w:p>
      <w:pPr>
        <w:ind w:right="60" w:firstLine="509"/>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6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spacing w:after="0" w:line="84"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spacing w:after="0" w:line="4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May 25, 2023, we submitted to the Listing Qualifications Department of Nasdaq an application to transfer the listing of our common stock from The Nasdaq Global Market to The Nasdaq Capital Market. On June 6, 2023, we received a notice (the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had no other immediate effect on the listing of our common stock. On September 27, 2023, we implemented a reverse stock split of our shares of common stock, pursuant to which every fifteen (15) shares of the our issued and outstanding common stock was automatically converted into one (1) issued and outstanding share of common stock without any change in the par value of $0.001 per share and our common stock has met the requirement for regaining the minimum bid price requirement. The reverse stock split was approved by our stockholders on September 21, 2023 at our Special Meeting of stockholders.</w:t>
      </w:r>
    </w:p>
    <w:p>
      <w:pPr>
        <w:spacing w:after="0" w:line="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During the fiscal quarter ended September 30, 2023,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20" w:type="dxa"/>
            <w:vAlign w:val="bottom"/>
            <w:gridSpan w:val="8"/>
            <w:vMerge w:val="restart"/>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this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8"/>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3.1</w:t>
            </w:r>
          </w:p>
        </w:tc>
        <w:tc>
          <w:tcPr>
            <w:tcW w:w="140" w:type="dxa"/>
            <w:vAlign w:val="bottom"/>
          </w:tcPr>
          <w:p>
            <w:pPr>
              <w:spacing w:after="0"/>
              <w:rPr>
                <w:sz w:val="24"/>
                <w:szCs w:val="24"/>
                <w:color w:val="auto"/>
              </w:rPr>
            </w:pPr>
          </w:p>
        </w:tc>
        <w:tc>
          <w:tcPr>
            <w:tcW w:w="5580" w:type="dxa"/>
            <w:vAlign w:val="bottom"/>
            <w:gridSpan w:val="12"/>
          </w:tcPr>
          <w:p>
            <w:pPr>
              <w:spacing w:after="0"/>
              <w:rPr>
                <w:rFonts w:ascii="Arial" w:cs="Arial" w:eastAsia="Arial" w:hAnsi="Arial"/>
                <w:sz w:val="16"/>
                <w:szCs w:val="16"/>
                <w:color w:val="0000FF"/>
                <w:w w:val="92"/>
              </w:rPr>
            </w:pPr>
            <w:hyperlink r:id="rId250">
              <w:r>
                <w:rPr>
                  <w:rFonts w:ascii="Arial" w:cs="Arial" w:eastAsia="Arial" w:hAnsi="Arial"/>
                  <w:sz w:val="16"/>
                  <w:szCs w:val="16"/>
                  <w:color w:val="0000FF"/>
                  <w:w w:val="92"/>
                </w:rPr>
                <w:t>Certificate of Amendment (Reverse Stock Split) to Amended and Restated Certificate</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Form 8-K</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June 15, 2023</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rFonts w:ascii="Arial" w:cs="Arial" w:eastAsia="Arial" w:hAnsi="Arial"/>
                <w:sz w:val="16"/>
                <w:szCs w:val="16"/>
                <w:color w:val="0000FF"/>
              </w:rPr>
            </w:pPr>
            <w:hyperlink r:id="rId250">
              <w:r>
                <w:rPr>
                  <w:rFonts w:ascii="Arial" w:cs="Arial" w:eastAsia="Arial" w:hAnsi="Arial"/>
                  <w:sz w:val="16"/>
                  <w:szCs w:val="16"/>
                  <w:color w:val="0000FF"/>
                </w:rPr>
                <w:t>of Incorporation of Synlogic, Inc., dated September 27, 2023</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4.1</w:t>
            </w:r>
          </w:p>
        </w:tc>
        <w:tc>
          <w:tcPr>
            <w:tcW w:w="140" w:type="dxa"/>
            <w:vAlign w:val="bottom"/>
          </w:tcPr>
          <w:p>
            <w:pPr>
              <w:spacing w:after="0"/>
              <w:rPr>
                <w:sz w:val="24"/>
                <w:szCs w:val="24"/>
                <w:color w:val="auto"/>
              </w:rPr>
            </w:pPr>
          </w:p>
        </w:tc>
        <w:tc>
          <w:tcPr>
            <w:tcW w:w="5580" w:type="dxa"/>
            <w:vAlign w:val="bottom"/>
            <w:gridSpan w:val="12"/>
          </w:tcPr>
          <w:p>
            <w:pPr>
              <w:spacing w:after="0"/>
              <w:rPr>
                <w:rFonts w:ascii="Arial" w:cs="Arial" w:eastAsia="Arial" w:hAnsi="Arial"/>
                <w:sz w:val="16"/>
                <w:szCs w:val="16"/>
                <w:color w:val="0000FF"/>
              </w:rPr>
            </w:pPr>
            <w:hyperlink r:id="rId251">
              <w:r>
                <w:rPr>
                  <w:rFonts w:ascii="Arial" w:cs="Arial" w:eastAsia="Arial" w:hAnsi="Arial"/>
                  <w:sz w:val="16"/>
                  <w:szCs w:val="16"/>
                  <w:color w:val="0000FF"/>
                </w:rPr>
                <w:t>Form of Pre-Funded Warrant</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Form 8-K</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6"/>
              </w:rPr>
              <w:t>September</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001-37566</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28,2023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4.2</w:t>
            </w:r>
          </w:p>
        </w:tc>
        <w:tc>
          <w:tcPr>
            <w:tcW w:w="140" w:type="dxa"/>
            <w:vAlign w:val="bottom"/>
          </w:tcPr>
          <w:p>
            <w:pPr>
              <w:spacing w:after="0"/>
              <w:rPr>
                <w:sz w:val="24"/>
                <w:szCs w:val="24"/>
                <w:color w:val="auto"/>
              </w:rPr>
            </w:pPr>
          </w:p>
        </w:tc>
        <w:tc>
          <w:tcPr>
            <w:tcW w:w="5580" w:type="dxa"/>
            <w:vAlign w:val="bottom"/>
            <w:gridSpan w:val="12"/>
          </w:tcPr>
          <w:p>
            <w:pPr>
              <w:spacing w:after="0"/>
              <w:rPr>
                <w:rFonts w:ascii="Arial" w:cs="Arial" w:eastAsia="Arial" w:hAnsi="Arial"/>
                <w:sz w:val="16"/>
                <w:szCs w:val="16"/>
                <w:color w:val="0000FF"/>
              </w:rPr>
            </w:pPr>
            <w:hyperlink r:id="rId252">
              <w:r>
                <w:rPr>
                  <w:rFonts w:ascii="Arial" w:cs="Arial" w:eastAsia="Arial" w:hAnsi="Arial"/>
                  <w:sz w:val="16"/>
                  <w:szCs w:val="16"/>
                  <w:color w:val="0000FF"/>
                </w:rPr>
                <w:t>Form of Purchase Warrant</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Form 8-K</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6"/>
              </w:rPr>
              <w:t>September</w:t>
            </w:r>
          </w:p>
        </w:tc>
        <w:tc>
          <w:tcPr>
            <w:tcW w:w="9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001-37566</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28,2023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10.1</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0000FF"/>
                <w:w w:val="97"/>
              </w:rPr>
              <w:t>Amendment to Pilot Collaboration and Option Agreement, dated as of August 16,</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sz w:val="20"/>
                <w:szCs w:val="20"/>
                <w:color w:val="auto"/>
              </w:rPr>
            </w:pPr>
            <w:r>
              <w:rPr>
                <w:rFonts w:ascii="Arial" w:cs="Arial" w:eastAsia="Arial" w:hAnsi="Arial"/>
                <w:sz w:val="16"/>
                <w:szCs w:val="16"/>
                <w:color w:val="0000FF"/>
              </w:rPr>
              <w:t>2023, among Synlogic Operating Company, Inc. and Hoffman-La Roche Inc.</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74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31.1</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0000FF"/>
                <w:w w:val="99"/>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sz w:val="20"/>
                <w:szCs w:val="20"/>
                <w:color w:val="auto"/>
              </w:rPr>
            </w:pPr>
            <w:r>
              <w:rPr>
                <w:rFonts w:ascii="Arial" w:cs="Arial" w:eastAsia="Arial" w:hAnsi="Arial"/>
                <w:sz w:val="16"/>
                <w:szCs w:val="16"/>
                <w:color w:val="0000FF"/>
              </w:rPr>
              <w:t>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jc w:val="center"/>
              <w:ind w:right="280"/>
              <w:spacing w:after="0"/>
              <w:rPr>
                <w:sz w:val="20"/>
                <w:szCs w:val="20"/>
                <w:color w:val="auto"/>
              </w:rPr>
            </w:pPr>
            <w:r>
              <w:rPr>
                <w:rFonts w:ascii="Arial" w:cs="Arial" w:eastAsia="Arial" w:hAnsi="Arial"/>
                <w:sz w:val="16"/>
                <w:szCs w:val="16"/>
                <w:color w:val="auto"/>
                <w:w w:val="89"/>
              </w:rPr>
              <w:t>31.2</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0000FF"/>
                <w:w w:val="97"/>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sz w:val="20"/>
                <w:szCs w:val="20"/>
                <w:color w:val="auto"/>
              </w:rPr>
            </w:pPr>
            <w:r>
              <w:rPr>
                <w:rFonts w:ascii="Arial" w:cs="Arial" w:eastAsia="Arial" w:hAnsi="Arial"/>
                <w:sz w:val="16"/>
                <w:szCs w:val="16"/>
                <w:color w:val="0000FF"/>
              </w:rPr>
              <w:t>15d-14(a).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0000FF"/>
                <w:w w:val="99"/>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Borders>
              <w:right w:val="single" w:sz="8" w:color="0000FF"/>
            </w:tcBorders>
            <w:gridSpan w:val="6"/>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6"/>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0000FF"/>
                <w:w w:val="99"/>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gridSpan w:val="8"/>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2"/>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6"/>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w w:val="97"/>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w w:val="99"/>
              </w:rPr>
              <w:t>Interactive Date File because XBRL tags are embedded within the Inline XBRL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5580" w:type="dxa"/>
            <w:vAlign w:val="bottom"/>
            <w:gridSpan w:val="12"/>
          </w:tcPr>
          <w:p>
            <w:pPr>
              <w:spacing w:after="0"/>
              <w:rPr>
                <w:sz w:val="20"/>
                <w:szCs w:val="20"/>
                <w:color w:val="auto"/>
              </w:rPr>
            </w:pPr>
            <w:r>
              <w:rPr>
                <w:rFonts w:ascii="Arial" w:cs="Arial" w:eastAsia="Arial" w:hAnsi="Arial"/>
                <w:sz w:val="16"/>
                <w:szCs w:val="16"/>
                <w:color w:val="auto"/>
                <w:w w:val="99"/>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686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6" w:lineRule="exact"/>
        <w:rPr>
          <w:sz w:val="20"/>
          <w:szCs w:val="20"/>
          <w:color w:val="auto"/>
        </w:rPr>
      </w:pPr>
    </w:p>
    <w:p>
      <w:pPr>
        <w:ind w:right="80" w:firstLine="8"/>
        <w:spacing w:after="0" w:line="335" w:lineRule="auto"/>
        <w:tabs>
          <w:tab w:leader="none" w:pos="229"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4" w:name="page65"/>
    <w:bookmarkEnd w:id="64"/>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SYNLOGIC, INC.</w:t>
      </w:r>
    </w:p>
    <w:p>
      <w:pPr>
        <w:spacing w:after="0" w:line="306" w:lineRule="exact"/>
        <w:rPr>
          <w:sz w:val="20"/>
          <w:szCs w:val="20"/>
          <w:color w:val="auto"/>
        </w:rPr>
      </w:pPr>
    </w:p>
    <w:p>
      <w:pPr>
        <w:ind w:left="688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688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Financial Officer and Principal</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10.1</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auto"/>
        </w:rPr>
        <w:t>Amendment No. 1 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Pilot Collaboration and Option Agreement</w:t>
      </w:r>
    </w:p>
    <w:p>
      <w:pPr>
        <w:spacing w:after="0" w:line="200" w:lineRule="exact"/>
        <w:rPr>
          <w:sz w:val="20"/>
          <w:szCs w:val="20"/>
          <w:color w:val="auto"/>
        </w:rPr>
      </w:pPr>
    </w:p>
    <w:p>
      <w:pPr>
        <w:spacing w:after="0" w:line="25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amendment no. 1 to the Pilot Collaboration and Option Agreement effective as of 16 June 2021 (the "</w:t>
      </w:r>
      <w:r>
        <w:rPr>
          <w:rFonts w:ascii="Arial" w:cs="Arial" w:eastAsia="Arial" w:hAnsi="Arial"/>
          <w:sz w:val="20"/>
          <w:szCs w:val="20"/>
          <w:b w:val="1"/>
          <w:bCs w:val="1"/>
          <w:color w:val="auto"/>
        </w:rPr>
        <w:t>Amendment No. 1</w:t>
      </w:r>
      <w:r>
        <w:rPr>
          <w:rFonts w:ascii="Arial" w:cs="Arial" w:eastAsia="Arial" w:hAnsi="Arial"/>
          <w:sz w:val="20"/>
          <w:szCs w:val="20"/>
          <w:color w:val="auto"/>
        </w:rPr>
        <w:t>") is entered into effective as of 15 August, 2023 (the "</w:t>
      </w:r>
      <w:r>
        <w:rPr>
          <w:rFonts w:ascii="Arial" w:cs="Arial" w:eastAsia="Arial" w:hAnsi="Arial"/>
          <w:sz w:val="20"/>
          <w:szCs w:val="20"/>
          <w:b w:val="1"/>
          <w:bCs w:val="1"/>
          <w:color w:val="auto"/>
        </w:rPr>
        <w:t>Amendment No. 1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Hoffmann-La Roche</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with an office and place of business at 150 Clove Road, Suite 8, Little Falls, New Jersey 07424, U.S.A. ("</w:t>
      </w:r>
      <w:r>
        <w:rPr>
          <w:rFonts w:ascii="Arial" w:cs="Arial" w:eastAsia="Arial" w:hAnsi="Arial"/>
          <w:sz w:val="20"/>
          <w:szCs w:val="20"/>
          <w:b w:val="1"/>
          <w:bCs w:val="1"/>
          <w:color w:val="auto"/>
        </w:rPr>
        <w:t>Roche US</w:t>
      </w:r>
      <w:r>
        <w:rPr>
          <w:rFonts w:ascii="Arial" w:cs="Arial" w:eastAsia="Arial" w:hAnsi="Arial"/>
          <w:sz w:val="20"/>
          <w:szCs w:val="20"/>
          <w:color w:val="auto"/>
        </w:rPr>
        <w:t>") and</w:t>
      </w:r>
      <w:r>
        <w:rPr>
          <w:rFonts w:ascii="Arial" w:cs="Arial" w:eastAsia="Arial" w:hAnsi="Arial"/>
          <w:sz w:val="20"/>
          <w:szCs w:val="20"/>
          <w:b w:val="1"/>
          <w:bCs w:val="1"/>
          <w:color w:val="auto"/>
        </w:rPr>
        <w:t xml:space="preserve"> F. Hoffmann-La Roche Ltd</w:t>
      </w:r>
      <w:r>
        <w:rPr>
          <w:rFonts w:ascii="Arial" w:cs="Arial" w:eastAsia="Arial" w:hAnsi="Arial"/>
          <w:sz w:val="20"/>
          <w:szCs w:val="20"/>
          <w:color w:val="auto"/>
        </w:rPr>
        <w:t>, located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 Roche Basel and</w:t>
      </w:r>
      <w:r>
        <w:rPr>
          <w:rFonts w:ascii="Arial" w:cs="Arial" w:eastAsia="Arial" w:hAnsi="Arial"/>
          <w:sz w:val="20"/>
          <w:szCs w:val="20"/>
          <w:b w:val="1"/>
          <w:bCs w:val="1"/>
          <w:color w:val="auto"/>
        </w:rPr>
        <w:t xml:space="preserve"> </w:t>
      </w:r>
      <w:r>
        <w:rPr>
          <w:rFonts w:ascii="Arial" w:cs="Arial" w:eastAsia="Arial" w:hAnsi="Arial"/>
          <w:sz w:val="20"/>
          <w:szCs w:val="20"/>
          <w:color w:val="auto"/>
        </w:rPr>
        <w:t>Roche US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xml:space="preserve">”), on the one hand, and </w:t>
      </w:r>
      <w:r>
        <w:rPr>
          <w:rFonts w:ascii="Arial" w:cs="Arial" w:eastAsia="Arial" w:hAnsi="Arial"/>
          <w:sz w:val="20"/>
          <w:szCs w:val="20"/>
          <w:b w:val="1"/>
          <w:bCs w:val="1"/>
          <w:color w:val="auto"/>
        </w:rPr>
        <w:t>Synlogic Operating Company, Inc.</w:t>
      </w:r>
      <w:r>
        <w:rPr>
          <w:rFonts w:ascii="Arial" w:cs="Arial" w:eastAsia="Arial" w:hAnsi="Arial"/>
          <w:sz w:val="20"/>
          <w:szCs w:val="20"/>
          <w:color w:val="auto"/>
        </w:rPr>
        <w:t>, located at 301 Binney St., Suite 402, Cambridge, MA 02142 (hereafter referred to as “</w:t>
      </w:r>
      <w:r>
        <w:rPr>
          <w:rFonts w:ascii="Arial" w:cs="Arial" w:eastAsia="Arial" w:hAnsi="Arial"/>
          <w:sz w:val="20"/>
          <w:szCs w:val="20"/>
          <w:b w:val="1"/>
          <w:bCs w:val="1"/>
          <w:color w:val="auto"/>
        </w:rPr>
        <w:t>Synlogic</w:t>
      </w:r>
      <w:r>
        <w:rPr>
          <w:rFonts w:ascii="Arial" w:cs="Arial" w:eastAsia="Arial" w:hAnsi="Arial"/>
          <w:sz w:val="20"/>
          <w:szCs w:val="20"/>
          <w:color w:val="auto"/>
        </w:rPr>
        <w:t>”), on the other hand.</w:t>
      </w:r>
    </w:p>
    <w:p>
      <w:pPr>
        <w:spacing w:after="0" w:line="38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WHEREAS, the Parties have entered into Pilot Collaboration and Option Agreement effective as of 16 June 2021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wish to amend the Agreement to extend the Option Exercise Deadline.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covenants contained herein, the parties agree as follows:</w:t>
      </w:r>
    </w:p>
    <w:p>
      <w:pPr>
        <w:spacing w:after="0" w:line="202"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capitalized terms not defined in this Amendment No. 1 shall have the meanings given to them in the Agreement.</w:t>
      </w:r>
    </w:p>
    <w:p>
      <w:pPr>
        <w:spacing w:after="0" w:line="202" w:lineRule="exact"/>
        <w:rPr>
          <w:rFonts w:ascii="Arial" w:cs="Arial" w:eastAsia="Arial" w:hAnsi="Arial"/>
          <w:sz w:val="20"/>
          <w:szCs w:val="20"/>
          <w:color w:val="auto"/>
        </w:rPr>
      </w:pPr>
    </w:p>
    <w:p>
      <w:pPr>
        <w:ind w:left="760" w:right="20" w:hanging="752"/>
        <w:spacing w:after="0" w:line="247" w:lineRule="auto"/>
        <w:tabs>
          <w:tab w:leader="none" w:pos="7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As of the Amendment No. 1 Effective Date, Article 4 (Option Right) of the Agreement shall be deleted in its entirety and replaced by the following:</w:t>
      </w:r>
    </w:p>
    <w:p>
      <w:pPr>
        <w:spacing w:after="0" w:line="165" w:lineRule="exact"/>
        <w:rPr>
          <w:sz w:val="20"/>
          <w:szCs w:val="20"/>
          <w:color w:val="auto"/>
        </w:rPr>
      </w:pPr>
    </w:p>
    <w:p>
      <w:pPr>
        <w:ind w:left="1260" w:hanging="450"/>
        <w:spacing w:after="0"/>
        <w:tabs>
          <w:tab w:leader="none" w:pos="12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Option Right</w:t>
      </w:r>
    </w:p>
    <w:p>
      <w:pPr>
        <w:spacing w:after="0" w:line="212" w:lineRule="exact"/>
        <w:rPr>
          <w:sz w:val="20"/>
          <w:szCs w:val="20"/>
          <w:color w:val="auto"/>
        </w:rPr>
      </w:pPr>
    </w:p>
    <w:p>
      <w:pPr>
        <w:jc w:val="both"/>
        <w:ind w:left="760"/>
        <w:spacing w:after="0" w:line="234" w:lineRule="auto"/>
        <w:rPr>
          <w:sz w:val="20"/>
          <w:szCs w:val="20"/>
          <w:color w:val="auto"/>
        </w:rPr>
      </w:pPr>
      <w:r>
        <w:rPr>
          <w:rFonts w:ascii="Arial" w:cs="Arial" w:eastAsia="Arial" w:hAnsi="Arial"/>
          <w:sz w:val="20"/>
          <w:szCs w:val="20"/>
          <w:color w:val="auto"/>
        </w:rPr>
        <w:t>Synlogic hereby grants Roche an exclusive option right (“Option Right”) which, if exercised by Roche, shall grant to Roche the rights and licenses set forth in the definitive CLA negotiated and executed in accordance with Section 2.11. Roche may exercise its Option Right at any time prior to the Option Exercise Deadline. “</w:t>
      </w:r>
      <w:r>
        <w:rPr>
          <w:rFonts w:ascii="Arial" w:cs="Arial" w:eastAsia="Arial" w:hAnsi="Arial"/>
          <w:sz w:val="20"/>
          <w:szCs w:val="20"/>
          <w:b w:val="1"/>
          <w:bCs w:val="1"/>
          <w:color w:val="auto"/>
        </w:rPr>
        <w:t>Option Exercise Deadline</w:t>
      </w:r>
      <w:r>
        <w:rPr>
          <w:rFonts w:ascii="Arial" w:cs="Arial" w:eastAsia="Arial" w:hAnsi="Arial"/>
          <w:sz w:val="20"/>
          <w:szCs w:val="20"/>
          <w:color w:val="auto"/>
        </w:rPr>
        <w:t>” shall mean the earliest of:</w:t>
      </w:r>
    </w:p>
    <w:p>
      <w:pPr>
        <w:spacing w:after="0" w:line="183" w:lineRule="exact"/>
        <w:rPr>
          <w:sz w:val="20"/>
          <w:szCs w:val="20"/>
          <w:color w:val="auto"/>
        </w:rPr>
      </w:pPr>
    </w:p>
    <w:p>
      <w:pPr>
        <w:ind w:left="1500" w:hanging="743"/>
        <w:spacing w:after="0"/>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expiration or termination of this Agreement, or</w:t>
      </w:r>
    </w:p>
    <w:p>
      <w:pPr>
        <w:spacing w:after="0" w:line="202" w:lineRule="exact"/>
        <w:rPr>
          <w:rFonts w:ascii="Arial" w:cs="Arial" w:eastAsia="Arial" w:hAnsi="Arial"/>
          <w:sz w:val="20"/>
          <w:szCs w:val="20"/>
          <w:color w:val="auto"/>
        </w:rPr>
      </w:pPr>
    </w:p>
    <w:p>
      <w:pPr>
        <w:ind w:left="1500" w:right="20" w:hanging="743"/>
        <w:spacing w:after="0" w:line="247" w:lineRule="auto"/>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second anniversary of the Effective Date if the Success Criteria for Part A have not been achieved by such date, or</w:t>
      </w:r>
    </w:p>
    <w:p>
      <w:pPr>
        <w:spacing w:after="0" w:line="174" w:lineRule="exact"/>
        <w:rPr>
          <w:rFonts w:ascii="Arial" w:cs="Arial" w:eastAsia="Arial" w:hAnsi="Arial"/>
          <w:sz w:val="20"/>
          <w:szCs w:val="20"/>
          <w:color w:val="auto"/>
        </w:rPr>
      </w:pPr>
    </w:p>
    <w:p>
      <w:pPr>
        <w:ind w:left="1500" w:right="20" w:hanging="743"/>
        <w:spacing w:after="0" w:line="247" w:lineRule="auto"/>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second anniversary of the date of the Payment Trigger Date for Part A if the Success Criteria for Part B1 have not been achieved by such date, or</w:t>
      </w:r>
    </w:p>
    <w:p>
      <w:pPr>
        <w:spacing w:after="0" w:line="174" w:lineRule="exact"/>
        <w:rPr>
          <w:rFonts w:ascii="Arial" w:cs="Arial" w:eastAsia="Arial" w:hAnsi="Arial"/>
          <w:sz w:val="20"/>
          <w:szCs w:val="20"/>
          <w:color w:val="auto"/>
        </w:rPr>
      </w:pPr>
    </w:p>
    <w:p>
      <w:pPr>
        <w:jc w:val="both"/>
        <w:ind w:left="1500" w:right="20" w:hanging="743"/>
        <w:spacing w:after="0" w:line="234" w:lineRule="auto"/>
        <w:tabs>
          <w:tab w:leader="none" w:pos="15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ninety (90) days after the Provision Date for Part B2 (including provision of any applicable Rescue Plan),ninety (90) days after the end of the Rescue Plan Decision Period for Part B2 where (A) the Success Criteria have not been met for Part B2 and (B) prior to the end of the Rescue Plan Decision Period, if Roche has not yet requested a Rescue Plan but has initiated negotiations of the CLA,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ind w:left="1492" w:hanging="743"/>
        <w:spacing w:after="0" w:line="247" w:lineRule="auto"/>
        <w:tabs>
          <w:tab w:leader="none" w:pos="14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date Roche informs Synlogic that it will not initiate negotiations of the CLA or desires to terminate negotiations of the CLA, or</w:t>
      </w:r>
    </w:p>
    <w:p>
      <w:pPr>
        <w:spacing w:after="0" w:line="174" w:lineRule="exact"/>
        <w:rPr>
          <w:rFonts w:ascii="Arial" w:cs="Arial" w:eastAsia="Arial" w:hAnsi="Arial"/>
          <w:sz w:val="20"/>
          <w:szCs w:val="20"/>
          <w:color w:val="auto"/>
        </w:rPr>
      </w:pPr>
    </w:p>
    <w:p>
      <w:pPr>
        <w:jc w:val="both"/>
        <w:ind w:left="1492" w:hanging="743"/>
        <w:spacing w:after="0" w:line="237" w:lineRule="auto"/>
        <w:tabs>
          <w:tab w:leader="none" w:pos="1492" w:val="left"/>
        </w:tabs>
        <w:numPr>
          <w:ilvl w:val="1"/>
          <w:numId w:val="52"/>
        </w:numPr>
        <w:rPr>
          <w:rFonts w:ascii="Arial" w:cs="Arial" w:eastAsia="Arial" w:hAnsi="Arial"/>
          <w:sz w:val="20"/>
          <w:szCs w:val="20"/>
          <w:color w:val="auto"/>
        </w:rPr>
      </w:pPr>
      <w:r>
        <w:rPr>
          <w:rFonts w:ascii="Arial" w:cs="Arial" w:eastAsia="Arial" w:hAnsi="Arial"/>
          <w:sz w:val="20"/>
          <w:szCs w:val="20"/>
          <w:color w:val="auto"/>
        </w:rPr>
        <w:t>on the later of (i) January 15, 2024, or (ii) 90 days from when Synlogic has (A) delivered B2 milestone data and Deliverables it deems sufficient (as determined in good faith), and (B) does not plan to do further experiments under the Agreement</w:t>
      </w:r>
    </w:p>
    <w:p>
      <w:pPr>
        <w:spacing w:after="0" w:line="182" w:lineRule="exact"/>
        <w:rPr>
          <w:rFonts w:ascii="Arial" w:cs="Arial" w:eastAsia="Arial" w:hAnsi="Arial"/>
          <w:sz w:val="20"/>
          <w:szCs w:val="20"/>
          <w:color w:val="auto"/>
        </w:rPr>
      </w:pPr>
    </w:p>
    <w:p>
      <w:pPr>
        <w:ind w:left="752" w:hanging="752"/>
        <w:spacing w:after="0"/>
        <w:tabs>
          <w:tab w:leader="none" w:pos="752"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Except as amended herein, all other terms of the Agreement shall remain in full force and effect.</w:t>
      </w:r>
    </w:p>
    <w:p>
      <w:pPr>
        <w:spacing w:after="0" w:line="202" w:lineRule="exact"/>
        <w:rPr>
          <w:rFonts w:ascii="Arial" w:cs="Arial" w:eastAsia="Arial" w:hAnsi="Arial"/>
          <w:sz w:val="20"/>
          <w:szCs w:val="20"/>
          <w:color w:val="auto"/>
        </w:rPr>
      </w:pPr>
    </w:p>
    <w:p>
      <w:pPr>
        <w:jc w:val="both"/>
        <w:ind w:left="752" w:hanging="752"/>
        <w:spacing w:after="0" w:line="228" w:lineRule="auto"/>
        <w:tabs>
          <w:tab w:leader="none" w:pos="75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This Amendment No. 1 may be executed in one or more counterparts, each of which shall be deemed an original and all of which taken together shall be deemed to constitute one and the same agreement. The Parties agree that execution of this Amendment No. 1 by e-Signatures or by exchanging executed signature pages in .pdf format shall have the same legal force and effect as the exchange of original signatures. As used in this Section, “</w:t>
      </w:r>
      <w:r>
        <w:rPr>
          <w:rFonts w:ascii="Arial" w:cs="Arial" w:eastAsia="Arial" w:hAnsi="Arial"/>
          <w:sz w:val="20"/>
          <w:szCs w:val="20"/>
          <w:b w:val="1"/>
          <w:bCs w:val="1"/>
          <w:color w:val="auto"/>
        </w:rPr>
        <w:t>e-Signature</w:t>
      </w:r>
      <w:r>
        <w:rPr>
          <w:rFonts w:ascii="Arial" w:cs="Arial" w:eastAsia="Arial" w:hAnsi="Arial"/>
          <w:sz w:val="20"/>
          <w:szCs w:val="20"/>
          <w:color w:val="auto"/>
        </w:rPr>
        <w:t>” shall mean a signature that consists of one or more letters, characters, numbers or other symbols in digital form incorporated in, attached to or associated with the electronic document, that (a) is unique to the person executing the signature; (b) the technology or process used to make the signature is under the sole control of the person making the signature; (c) the technology or process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195580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77"/>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F. Hoffmann-La Roche Ltd</w:t>
            </w:r>
          </w:p>
        </w:tc>
        <w:tc>
          <w:tcPr>
            <w:tcW w:w="10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642"/>
        </w:trPr>
        <w:tc>
          <w:tcPr>
            <w:tcW w:w="800" w:type="dxa"/>
            <w:vAlign w:val="bottom"/>
          </w:tcPr>
          <w:p>
            <w:pPr>
              <w:ind w:left="20"/>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Dagmar Mohr</w:t>
            </w:r>
          </w:p>
        </w:tc>
        <w:tc>
          <w:tcPr>
            <w:tcW w:w="1000" w:type="dxa"/>
            <w:vAlign w:val="bottom"/>
          </w:tcPr>
          <w:p>
            <w:pPr>
              <w:ind w:left="240"/>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Hannah Boehm</w:t>
            </w:r>
          </w:p>
        </w:tc>
      </w:tr>
      <w:tr>
        <w:trPr>
          <w:trHeight w:val="232"/>
        </w:trPr>
        <w:tc>
          <w:tcPr>
            <w:tcW w:w="800" w:type="dxa"/>
            <w:vAlign w:val="bottom"/>
          </w:tcPr>
          <w:p>
            <w:pPr>
              <w:ind w:left="20"/>
              <w:spacing w:after="0"/>
              <w:rPr>
                <w:sz w:val="20"/>
                <w:szCs w:val="20"/>
                <w:color w:val="auto"/>
              </w:rPr>
            </w:pPr>
            <w:r>
              <w:rPr>
                <w:rFonts w:ascii="Arial" w:cs="Arial" w:eastAsia="Arial" w:hAnsi="Arial"/>
                <w:sz w:val="20"/>
                <w:szCs w:val="20"/>
                <w:color w:val="auto"/>
              </w:rPr>
              <w:t>Name:</w:t>
            </w:r>
          </w:p>
        </w:tc>
        <w:tc>
          <w:tcPr>
            <w:tcW w:w="4720" w:type="dxa"/>
            <w:vAlign w:val="bottom"/>
          </w:tcPr>
          <w:p>
            <w:pPr>
              <w:ind w:left="20"/>
              <w:spacing w:after="0"/>
              <w:rPr>
                <w:sz w:val="20"/>
                <w:szCs w:val="20"/>
                <w:color w:val="auto"/>
              </w:rPr>
            </w:pPr>
            <w:r>
              <w:rPr>
                <w:rFonts w:ascii="Arial" w:cs="Arial" w:eastAsia="Arial" w:hAnsi="Arial"/>
                <w:sz w:val="20"/>
                <w:szCs w:val="20"/>
                <w:color w:val="auto"/>
              </w:rPr>
              <w:t>Dagmar Mohr</w:t>
            </w:r>
          </w:p>
        </w:tc>
        <w:tc>
          <w:tcPr>
            <w:tcW w:w="1000" w:type="dxa"/>
            <w:vAlign w:val="bottom"/>
          </w:tcPr>
          <w:p>
            <w:pPr>
              <w:ind w:left="240"/>
              <w:spacing w:after="0"/>
              <w:rPr>
                <w:sz w:val="20"/>
                <w:szCs w:val="20"/>
                <w:color w:val="auto"/>
              </w:rPr>
            </w:pPr>
            <w:r>
              <w:rPr>
                <w:rFonts w:ascii="Arial" w:cs="Arial" w:eastAsia="Arial" w:hAnsi="Arial"/>
                <w:sz w:val="20"/>
                <w:szCs w:val="20"/>
                <w:color w:val="auto"/>
              </w:rPr>
              <w:t>Name:</w:t>
            </w:r>
          </w:p>
        </w:tc>
        <w:tc>
          <w:tcPr>
            <w:tcW w:w="4720" w:type="dxa"/>
            <w:vAlign w:val="bottom"/>
          </w:tcPr>
          <w:p>
            <w:pPr>
              <w:ind w:left="20"/>
              <w:spacing w:after="0"/>
              <w:rPr>
                <w:sz w:val="20"/>
                <w:szCs w:val="20"/>
                <w:color w:val="auto"/>
              </w:rPr>
            </w:pPr>
            <w:r>
              <w:rPr>
                <w:rFonts w:ascii="Arial" w:cs="Arial" w:eastAsia="Arial" w:hAnsi="Arial"/>
                <w:sz w:val="20"/>
                <w:szCs w:val="20"/>
                <w:color w:val="auto"/>
              </w:rPr>
              <w:t>Hannah Boehm</w:t>
            </w:r>
          </w:p>
        </w:tc>
      </w:tr>
      <w:tr>
        <w:trPr>
          <w:trHeight w:val="251"/>
        </w:trPr>
        <w:tc>
          <w:tcPr>
            <w:tcW w:w="800" w:type="dxa"/>
            <w:vAlign w:val="bottom"/>
          </w:tcPr>
          <w:p>
            <w:pPr>
              <w:ind w:left="20"/>
              <w:spacing w:after="0"/>
              <w:rPr>
                <w:sz w:val="20"/>
                <w:szCs w:val="20"/>
                <w:color w:val="auto"/>
              </w:rPr>
            </w:pPr>
            <w:r>
              <w:rPr>
                <w:rFonts w:ascii="Arial" w:cs="Arial" w:eastAsia="Arial" w:hAnsi="Arial"/>
                <w:sz w:val="20"/>
                <w:szCs w:val="20"/>
                <w:color w:val="auto"/>
              </w:rPr>
              <w:t>Title:</w:t>
            </w:r>
          </w:p>
        </w:tc>
        <w:tc>
          <w:tcPr>
            <w:tcW w:w="4720" w:type="dxa"/>
            <w:vAlign w:val="bottom"/>
          </w:tcPr>
          <w:p>
            <w:pPr>
              <w:ind w:left="20"/>
              <w:spacing w:after="0"/>
              <w:rPr>
                <w:sz w:val="20"/>
                <w:szCs w:val="20"/>
                <w:color w:val="auto"/>
              </w:rPr>
            </w:pPr>
            <w:r>
              <w:rPr>
                <w:rFonts w:ascii="Arial" w:cs="Arial" w:eastAsia="Arial" w:hAnsi="Arial"/>
                <w:sz w:val="20"/>
                <w:szCs w:val="20"/>
                <w:color w:val="auto"/>
              </w:rPr>
              <w:t>Global Alliance &amp; Asset Management</w:t>
            </w:r>
          </w:p>
        </w:tc>
        <w:tc>
          <w:tcPr>
            <w:tcW w:w="1000" w:type="dxa"/>
            <w:vAlign w:val="bottom"/>
          </w:tcPr>
          <w:p>
            <w:pPr>
              <w:ind w:left="240"/>
              <w:spacing w:after="0"/>
              <w:rPr>
                <w:sz w:val="20"/>
                <w:szCs w:val="20"/>
                <w:color w:val="auto"/>
              </w:rPr>
            </w:pPr>
            <w:r>
              <w:rPr>
                <w:rFonts w:ascii="Arial" w:cs="Arial" w:eastAsia="Arial" w:hAnsi="Arial"/>
                <w:sz w:val="20"/>
                <w:szCs w:val="20"/>
                <w:color w:val="auto"/>
              </w:rPr>
              <w:t>Title:</w:t>
            </w:r>
          </w:p>
        </w:tc>
        <w:tc>
          <w:tcPr>
            <w:tcW w:w="4720" w:type="dxa"/>
            <w:vAlign w:val="bottom"/>
          </w:tcPr>
          <w:p>
            <w:pPr>
              <w:ind w:left="20"/>
              <w:spacing w:after="0"/>
              <w:rPr>
                <w:sz w:val="20"/>
                <w:szCs w:val="20"/>
                <w:color w:val="auto"/>
              </w:rPr>
            </w:pPr>
            <w:r>
              <w:rPr>
                <w:rFonts w:ascii="Arial" w:cs="Arial" w:eastAsia="Arial" w:hAnsi="Arial"/>
                <w:sz w:val="20"/>
                <w:szCs w:val="20"/>
                <w:color w:val="auto"/>
              </w:rPr>
              <w:t>Legal Counsel</w:t>
            </w:r>
          </w:p>
        </w:tc>
      </w:tr>
    </w:tbl>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16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505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Gerald Bohm</w:t>
            </w:r>
          </w:p>
        </w:tc>
      </w:tr>
      <w:tr>
        <w:trPr>
          <w:trHeight w:val="232"/>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4720" w:type="dxa"/>
            <w:vAlign w:val="bottom"/>
          </w:tcPr>
          <w:p>
            <w:pPr>
              <w:ind w:left="20"/>
              <w:spacing w:after="0"/>
              <w:rPr>
                <w:sz w:val="20"/>
                <w:szCs w:val="20"/>
                <w:color w:val="auto"/>
              </w:rPr>
            </w:pPr>
            <w:r>
              <w:rPr>
                <w:rFonts w:ascii="Arial" w:cs="Arial" w:eastAsia="Arial" w:hAnsi="Arial"/>
                <w:sz w:val="20"/>
                <w:szCs w:val="20"/>
                <w:color w:val="auto"/>
              </w:rPr>
              <w:t>Gerald Bohm</w:t>
            </w:r>
          </w:p>
        </w:tc>
      </w:tr>
      <w:tr>
        <w:trPr>
          <w:trHeight w:val="251"/>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Pr>
          <w:p>
            <w:pPr>
              <w:ind w:left="20"/>
              <w:spacing w:after="0"/>
              <w:rPr>
                <w:sz w:val="20"/>
                <w:szCs w:val="20"/>
                <w:color w:val="auto"/>
              </w:rPr>
            </w:pPr>
            <w:r>
              <w:rPr>
                <w:rFonts w:ascii="Arial" w:cs="Arial" w:eastAsia="Arial" w:hAnsi="Arial"/>
                <w:sz w:val="20"/>
                <w:szCs w:val="20"/>
                <w:color w:val="auto"/>
              </w:rPr>
              <w:t>Vice President and Secretary</w:t>
            </w:r>
          </w:p>
        </w:tc>
      </w:tr>
    </w:tbl>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16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505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Synlogic Operating Company, Inc.</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Aoife Brennan</w:t>
            </w:r>
          </w:p>
        </w:tc>
      </w:tr>
      <w:tr>
        <w:trPr>
          <w:trHeight w:val="232"/>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4720" w:type="dxa"/>
            <w:vAlign w:val="bottom"/>
          </w:tcPr>
          <w:p>
            <w:pPr>
              <w:ind w:left="20"/>
              <w:spacing w:after="0"/>
              <w:rPr>
                <w:sz w:val="20"/>
                <w:szCs w:val="20"/>
                <w:color w:val="auto"/>
              </w:rPr>
            </w:pPr>
            <w:r>
              <w:rPr>
                <w:rFonts w:ascii="Arial" w:cs="Arial" w:eastAsia="Arial" w:hAnsi="Arial"/>
                <w:sz w:val="20"/>
                <w:szCs w:val="20"/>
                <w:color w:val="auto"/>
              </w:rPr>
              <w:t>Aoife Brennan</w:t>
            </w:r>
          </w:p>
        </w:tc>
      </w:tr>
      <w:tr>
        <w:trPr>
          <w:trHeight w:val="251"/>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Pr>
          <w:p>
            <w:pPr>
              <w:ind w:left="20"/>
              <w:spacing w:after="0"/>
              <w:rPr>
                <w:sz w:val="20"/>
                <w:szCs w:val="20"/>
                <w:color w:val="auto"/>
              </w:rPr>
            </w:pPr>
            <w:r>
              <w:rPr>
                <w:rFonts w:ascii="Arial" w:cs="Arial" w:eastAsia="Arial" w:hAnsi="Arial"/>
                <w:sz w:val="20"/>
                <w:szCs w:val="20"/>
                <w:color w:val="auto"/>
              </w:rPr>
              <w:t>CEO</w:t>
            </w:r>
          </w:p>
        </w:tc>
      </w:tr>
    </w:tbl>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16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505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Jensen, certify that:</w:t>
      </w:r>
    </w:p>
    <w:p>
      <w:pPr>
        <w:spacing w:after="0" w:line="225"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September 30, 2023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8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September 30, 2023 as filed with the Securities and Exchange Commission on the date hereof (the “Report”), I, Michael Jensen,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8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decimal"/>
      <w:start w:val="3"/>
    </w:lvl>
  </w:abstractNum>
  <w:abstractNum w:abstractNumId="6">
    <w:nsid w:val="6CEAF087"/>
    <w:multiLevelType w:val="hybridMultilevel"/>
    <w:lvl w:ilvl="0">
      <w:lvlJc w:val="left"/>
      <w:lvlText w:val="(%1)"/>
      <w:numFmt w:val="decimal"/>
      <w:start w:val="4"/>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decimal"/>
      <w:start w:val="6"/>
    </w:lvl>
  </w:abstractNum>
  <w:abstractNum w:abstractNumId="9">
    <w:nsid w:val="3006C83E"/>
    <w:multiLevelType w:val="hybridMultilevel"/>
    <w:lvl w:ilvl="0">
      <w:lvlJc w:val="left"/>
      <w:lvlText w:val="(%1)"/>
      <w:numFmt w:val="decimal"/>
      <w:start w:val="7"/>
    </w:lvl>
  </w:abstractNum>
  <w:abstractNum w:abstractNumId="10">
    <w:nsid w:val="614FD4A1"/>
    <w:multiLevelType w:val="hybridMultilevel"/>
    <w:lvl w:ilvl="0">
      <w:lvlJc w:val="left"/>
      <w:lvlText w:val="(%1)"/>
      <w:numFmt w:val="decimal"/>
      <w:start w:val="8"/>
    </w:lvl>
  </w:abstractNum>
  <w:abstractNum w:abstractNumId="11">
    <w:nsid w:val="419AC241"/>
    <w:multiLevelType w:val="hybridMultilevel"/>
    <w:lvl w:ilvl="0">
      <w:lvlJc w:val="left"/>
      <w:lvlText w:val="(%1)"/>
      <w:numFmt w:val="decimal"/>
      <w:start w:val="9"/>
    </w:lvl>
  </w:abstractNum>
  <w:abstractNum w:abstractNumId="12">
    <w:nsid w:val="5577F8E1"/>
    <w:multiLevelType w:val="hybridMultilevel"/>
    <w:lvl w:ilvl="0">
      <w:lvlJc w:val="left"/>
      <w:lvlText w:val="(%1)"/>
      <w:numFmt w:val="decimal"/>
      <w:start w:val="10"/>
    </w:lvl>
  </w:abstractNum>
  <w:abstractNum w:abstractNumId="13">
    <w:nsid w:val="440BADFC"/>
    <w:multiLevelType w:val="hybridMultilevel"/>
    <w:lvl w:ilvl="0">
      <w:lvlJc w:val="left"/>
      <w:lvlText w:val="(%1)"/>
      <w:numFmt w:val="decimal"/>
      <w:start w:val="11"/>
    </w:lvl>
  </w:abstractNum>
  <w:abstractNum w:abstractNumId="14">
    <w:nsid w:val="5072367"/>
    <w:multiLevelType w:val="hybridMultilevel"/>
    <w:lvl w:ilvl="0">
      <w:lvlJc w:val="left"/>
      <w:lvlText w:val="(%1)"/>
      <w:numFmt w:val="decimal"/>
      <w:start w:val="12"/>
    </w:lvl>
  </w:abstractNum>
  <w:abstractNum w:abstractNumId="15">
    <w:nsid w:val="3804823E"/>
    <w:multiLevelType w:val="hybridMultilevel"/>
    <w:lvl w:ilvl="0">
      <w:lvlJc w:val="left"/>
      <w:lvlText w:val="(%1)"/>
      <w:numFmt w:val="decimal"/>
      <w:start w:val="13"/>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Letter"/>
      <w:start w:val="2"/>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4"/>
      <w:numFmt w:val="bullet"/>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5"/>
    </w:lvl>
  </w:abstractNum>
  <w:abstractNum w:abstractNumId="52">
    <w:nsid w:val="23F9C13C"/>
    <w:multiLevelType w:val="hybridMultilevel"/>
    <w:lvl w:ilvl="0">
      <w:lvlJc w:val="left"/>
      <w:lvlText w:val="%1."/>
      <w:numFmt w:val="decimal"/>
      <w:start w:val="3"/>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50" Type="http://schemas.openxmlformats.org/officeDocument/2006/relationships/hyperlink" Target="https://www.sec.gov/Archives/edgar/data/1527599/000119312523167885/d520938dex31.htm" TargetMode="External"/><Relationship Id="rId251" Type="http://schemas.openxmlformats.org/officeDocument/2006/relationships/hyperlink" Target="https://www.sec.gov/Archives/edgar/data/1527599/000119312523246542/d741024dex41.htm" TargetMode="External"/><Relationship Id="rId252" Type="http://schemas.openxmlformats.org/officeDocument/2006/relationships/hyperlink" Target="https://www.sec.gov/Archives/edgar/data/1527599/000119312523246542/d74102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2023-11-09T05:39:02Z</dcterms:created>
  <dcterms:modified xsi:type="dcterms:W3CDTF">2023-11-09T05:39:02Z</dcterms:modified>
</cp:coreProperties>
</file>