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ybx-20240930.htm"/>
      <w:bookmarkStart w:id="1" w:name="kssybx202409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 FOR THE TRANSITION PERIOD FROM TO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001-37566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SYNLOGIC,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26-1824804</w:t>
            </w:r>
          </w:p>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spacing w:before="0" w:after="283"/>
              <w:jc w:val="center"/>
              <w:rPr/>
            </w:pPr>
            <w:r>
              <w:rPr/>
              <w:t> </w:t>
            </w:r>
          </w:p>
        </w:tc>
      </w:tr>
      <w:tr>
        <w:trPr/>
        <w:tc>
          <w:tcPr>
            <w:tcW w:w="2926" w:type="dxa"/>
            <w:tcBorders/>
            <w:vAlign w:val="center"/>
          </w:tcPr>
          <w:p>
            <w:pPr>
              <w:pStyle w:val="TableContents"/>
              <w:bidi w:val="0"/>
              <w:jc w:val="center"/>
              <w:rPr>
                <w:rFonts w:ascii="Times New Roman" w:hAnsi="Times New Roman"/>
                <w:sz w:val="20"/>
              </w:rPr>
            </w:pPr>
            <w:r>
              <w:rPr>
                <w:rFonts w:ascii="Times New Roman" w:hAnsi="Times New Roman"/>
                <w:b/>
                <w:color w:val="000000"/>
                <w:sz w:val="20"/>
              </w:rPr>
              <w:t>PO Box</w:t>
            </w:r>
            <w:r>
              <w:rPr>
                <w:rFonts w:ascii="Times New Roman" w:hAnsi="Times New Roman"/>
                <w:color w:val="000000"/>
                <w:sz w:val="20"/>
              </w:rPr>
              <w:t xml:space="preserve"> </w:t>
            </w:r>
            <w:r>
              <w:rPr>
                <w:rFonts w:ascii="Times New Roman" w:hAnsi="Times New Roman"/>
                <w:b/>
                <w:color w:val="000000"/>
                <w:sz w:val="20"/>
              </w:rPr>
              <w:t>30</w:t>
            </w:r>
          </w:p>
          <w:p>
            <w:pPr>
              <w:pStyle w:val="TableContents"/>
              <w:bidi w:val="0"/>
              <w:jc w:val="center"/>
              <w:rPr>
                <w:rFonts w:ascii="Times New Roman" w:hAnsi="Times New Roman"/>
                <w:b/>
                <w:color w:val="000000"/>
                <w:sz w:val="20"/>
              </w:rPr>
            </w:pPr>
            <w:r>
              <w:rPr>
                <w:rFonts w:ascii="Times New Roman" w:hAnsi="Times New Roman"/>
                <w:b/>
                <w:color w:val="000000"/>
                <w:sz w:val="20"/>
              </w:rPr>
              <w:t>Winchester, MA</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148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01890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4558" w:type="dxa"/>
            <w:gridSpan w:val="3"/>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(617) 659-2802</w:t>
            </w:r>
          </w:p>
          <w:p>
            <w:pPr>
              <w:pStyle w:val="TableContents"/>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tc>
      </w:tr>
    </w:tbl>
    <w:p>
      <w:pPr>
        <w:pStyle w:val="TextBody"/>
        <w:bidi w:val="0"/>
        <w:jc w:val="left"/>
        <w:rPr/>
      </w:pPr>
      <w:r>
        <w:rPr/>
        <w:t> </w:t>
      </w:r>
    </w:p>
    <w:tbl>
      <w:tblPr>
        <w:tblW w:w="7368" w:type="dxa"/>
        <w:jc w:val="left"/>
        <w:tblInd w:w="0" w:type="dxa"/>
        <w:tblLayout w:type="fixed"/>
        <w:tblCellMar>
          <w:top w:w="28" w:type="dxa"/>
          <w:left w:w="28" w:type="dxa"/>
          <w:bottom w:w="28" w:type="dxa"/>
          <w:right w:w="28" w:type="dxa"/>
        </w:tblCellMar>
      </w:tblPr>
      <w:tblGrid>
        <w:gridCol w:w="3196"/>
        <w:gridCol w:w="1261"/>
        <w:gridCol w:w="2911"/>
      </w:tblGrid>
      <w:tr>
        <w:trPr/>
        <w:tc>
          <w:tcPr>
            <w:tcW w:w="31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w:t>
            </w:r>
          </w:p>
        </w:tc>
        <w:tc>
          <w:tcPr>
            <w:tcW w:w="291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SYBX</w:t>
            </w:r>
          </w:p>
        </w:tc>
        <w:tc>
          <w:tcPr>
            <w:tcW w:w="29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Capital Market</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Preferred Stock Purchase Rights</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29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November 5, 2024, there were 11,696,109</w:t>
      </w:r>
      <w:r>
        <w:rPr>
          <w:rFonts w:ascii="Times New Roman" w:hAnsi="Times New Roman"/>
          <w:color w:val="000000"/>
          <w:sz w:val="20"/>
        </w:rPr>
        <w:t xml:space="preserve"> </w:t>
      </w:r>
      <w:r>
        <w:rPr>
          <w:rFonts w:ascii="Times New Roman" w:hAnsi="Times New Roman"/>
          <w:color w:val="000000"/>
          <w:sz w:val="18"/>
        </w:rPr>
        <w:t>shares of the registrant’s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evaluation of strategic alternatives with a goal to enhance stockholder value, including the possibility of a merger or a sale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costs and results of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costs involved in obtaining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collaborations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and costs involved in developing manufacturing processes and in manufacturing products, as well as agreements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and cost of our commercialization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expenses we incur in marketing and selling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generated by sales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or complementary technological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additional collaborative, licensing or other arrangements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infrastructure and internal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add personnel and financial and management information systems to support our product development and potential future commercialization efforts, and to enable us to operate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business is adversely impacted by the effects of the coronavirus outbreak (COVID-19) or by other health epidemics or pandemics;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Part II, 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SYNLOGIC,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638" w:type="dxa"/>
        <w:jc w:val="left"/>
        <w:tblInd w:w="0" w:type="dxa"/>
        <w:tblLayout w:type="fixed"/>
        <w:tblCellMar>
          <w:top w:w="28" w:type="dxa"/>
          <w:left w:w="28" w:type="dxa"/>
          <w:bottom w:w="28" w:type="dxa"/>
          <w:right w:w="28" w:type="dxa"/>
        </w:tblCellMar>
      </w:tblPr>
      <w:tblGrid>
        <w:gridCol w:w="7981"/>
        <w:gridCol w:w="146"/>
        <w:gridCol w:w="511"/>
      </w:tblGrid>
      <w:tr>
        <w:trPr/>
        <w:tc>
          <w:tcPr>
            <w:tcW w:w="7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9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9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11" w:type="dxa"/>
            <w:tcBorders/>
            <w:vAlign w:val="center"/>
          </w:tcPr>
          <w:p>
            <w:pPr>
              <w:pStyle w:val="TableContents"/>
              <w:bidi w:val="0"/>
              <w:spacing w:before="0" w:after="283"/>
              <w:jc w:val="center"/>
              <w:rPr/>
            </w:pPr>
            <w:r>
              <w:rPr/>
              <w:t> </w:t>
            </w:r>
          </w:p>
        </w:tc>
      </w:tr>
      <w:tr>
        <w:trPr/>
        <w:tc>
          <w:tcPr>
            <w:tcW w:w="798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 FINANCIAL INFORMATION</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 Financial Statements</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balance_sheets">
              <w:r>
                <w:rPr>
                  <w:rStyle w:val="InternetLink"/>
                  <w:rFonts w:ascii="Times New Roman" w:hAnsi="Times New Roman"/>
                  <w:color w:val="0000FF"/>
                  <w:sz w:val="20"/>
                  <w:u w:val="single"/>
                </w:rPr>
                <w:t>Unaudited Consolidated Balance Sheets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statements_operat">
              <w:r>
                <w:rPr>
                  <w:rStyle w:val="InternetLink"/>
                  <w:rFonts w:ascii="Times New Roman" w:hAnsi="Times New Roman"/>
                  <w:color w:val="0000FF"/>
                  <w:sz w:val="20"/>
                  <w:u w:val="single"/>
                </w:rPr>
                <w:t>Unaudited Consolidated Statements of Operations and Comprehensive Loss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statements_stockh">
              <w:r>
                <w:rPr>
                  <w:rStyle w:val="InternetLink"/>
                  <w:rFonts w:ascii="Times New Roman" w:hAnsi="Times New Roman"/>
                  <w:color w:val="0000FF"/>
                  <w:sz w:val="20"/>
                  <w:u w:val="single"/>
                </w:rPr>
                <w:t>Unaudited Consolidated Statements of Stockholders’ Equity</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unaudited_consolidated_statements_cash_f">
              <w:r>
                <w:rPr>
                  <w:rStyle w:val="InternetLink"/>
                  <w:rFonts w:ascii="Times New Roman" w:hAnsi="Times New Roman"/>
                  <w:color w:val="0000FF"/>
                  <w:sz w:val="20"/>
                  <w:u w:val="single"/>
                </w:rPr>
                <w:t>Unaudited Consolidated Statements of Cash Flows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notes_to_unaudited_consolidated_financia">
              <w:r>
                <w:rPr>
                  <w:rStyle w:val="InternetLink"/>
                  <w:rFonts w:ascii="Times New Roman" w:hAnsi="Times New Roman"/>
                  <w:color w:val="0000FF"/>
                  <w:sz w:val="20"/>
                  <w:u w:val="single"/>
                </w:rPr>
                <w:t>Notes to Unaudited Consolidated Financial Statements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3quantitativeandqualitativedis">
              <w:r>
                <w:rPr>
                  <w:rStyle w:val="InternetLink"/>
                  <w:rFonts w:ascii="Times New Roman" w:hAnsi="Times New Roman"/>
                  <w:color w:val="0000FF"/>
                  <w:sz w:val="20"/>
                  <w:u w:val="single"/>
                </w:rPr>
                <w:t>Item 3. Quantitative and Qualitative Disclosures about Market Risk</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4controlsandprocedures">
              <w:r>
                <w:rPr>
                  <w:rStyle w:val="InternetLink"/>
                  <w:rFonts w:ascii="Times New Roman" w:hAnsi="Times New Roman"/>
                  <w:color w:val="0000FF"/>
                  <w:sz w:val="20"/>
                  <w:u w:val="single"/>
                </w:rPr>
                <w:t>Item 4. Controls and Procedures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 OTHER INFORMATION</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2" w:name="unaudited_consolidated_balance_sheets"/>
      <w:bookmarkEnd w:id="2"/>
      <w:r>
        <w:rPr>
          <w:rFonts w:ascii="Times New Roman" w:hAnsi="Times New Roman"/>
          <w:color w:val="000000"/>
          <w:sz w:val="20"/>
        </w:rPr>
        <w:t>Unaudited Consolidated Balance Sheets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81"/>
        <w:gridCol w:w="146"/>
        <w:gridCol w:w="217"/>
        <w:gridCol w:w="868"/>
        <w:gridCol w:w="166"/>
        <w:gridCol w:w="146"/>
        <w:gridCol w:w="214"/>
        <w:gridCol w:w="854"/>
        <w:gridCol w:w="613"/>
      </w:tblGrid>
      <w:tr>
        <w:trPr/>
        <w:tc>
          <w:tcPr>
            <w:tcW w:w="6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center"/>
              <w:rPr/>
            </w:pPr>
            <w:r>
              <w:rPr/>
              <w:t> </w:t>
            </w:r>
          </w:p>
        </w:tc>
        <w:tc>
          <w:tcPr>
            <w:tcW w:w="108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68" w:type="dxa"/>
            <w:gridSpan w:val="2"/>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left"/>
              <w:rPr/>
            </w:pPr>
            <w:r>
              <w:rPr/>
              <w:t> </w:t>
            </w:r>
          </w:p>
        </w:tc>
      </w:tr>
      <w:tr>
        <w:trPr/>
        <w:tc>
          <w:tcPr>
            <w:tcW w:w="6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center"/>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23,786</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49,907</w:t>
            </w:r>
          </w:p>
        </w:tc>
        <w:tc>
          <w:tcPr>
            <w:tcW w:w="613" w:type="dxa"/>
            <w:tcBorders/>
            <w:shd w:fill="CFF0FC" w:val="clear"/>
            <w:vAlign w:val="center"/>
          </w:tcPr>
          <w:p>
            <w:pPr>
              <w:pStyle w:val="TableContents"/>
              <w:bidi w:val="0"/>
              <w:spacing w:before="0" w:after="283"/>
              <w:jc w:val="left"/>
              <w:rPr/>
            </w:pPr>
            <w:r>
              <w:rPr/>
              <w:t> </w:t>
            </w:r>
          </w:p>
        </w:tc>
      </w:tr>
      <w:tr>
        <w:trPr/>
        <w:tc>
          <w:tcPr>
            <w:tcW w:w="6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613" w:type="dxa"/>
            <w:tcBorders/>
            <w:shd w:fill="FFFFFF" w:val="clear"/>
            <w:vAlign w:val="center"/>
          </w:tcPr>
          <w:p>
            <w:pPr>
              <w:pStyle w:val="TableContents"/>
              <w:bidi w:val="0"/>
              <w:spacing w:before="0" w:after="283"/>
              <w:jc w:val="left"/>
              <w:rPr/>
            </w:pPr>
            <w:r>
              <w:rPr/>
              <w:t> </w:t>
            </w:r>
          </w:p>
        </w:tc>
      </w:tr>
      <w:tr>
        <w:trPr/>
        <w:tc>
          <w:tcPr>
            <w:tcW w:w="6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 - operating lease</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w:t>
            </w:r>
          </w:p>
        </w:tc>
        <w:tc>
          <w:tcPr>
            <w:tcW w:w="613" w:type="dxa"/>
            <w:tcBorders/>
            <w:shd w:fill="CFF0FC" w:val="clear"/>
            <w:vAlign w:val="center"/>
          </w:tcPr>
          <w:p>
            <w:pPr>
              <w:pStyle w:val="TableContents"/>
              <w:bidi w:val="0"/>
              <w:spacing w:before="0" w:after="283"/>
              <w:jc w:val="left"/>
              <w:rPr/>
            </w:pPr>
            <w:r>
              <w:rPr/>
              <w:t> </w:t>
            </w:r>
          </w:p>
        </w:tc>
      </w:tr>
      <w:tr>
        <w:trPr/>
        <w:tc>
          <w:tcPr>
            <w:tcW w:w="6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613" w:type="dxa"/>
            <w:tcBorders/>
            <w:shd w:fill="FFFFFF" w:val="clear"/>
            <w:vAlign w:val="center"/>
          </w:tcPr>
          <w:p>
            <w:pPr>
              <w:pStyle w:val="TableContents"/>
              <w:bidi w:val="0"/>
              <w:spacing w:before="0" w:after="283"/>
              <w:jc w:val="left"/>
              <w:rPr/>
            </w:pPr>
            <w:r>
              <w:rPr/>
              <w:t> </w:t>
            </w:r>
          </w:p>
        </w:tc>
      </w:tr>
      <w:tr>
        <w:trPr/>
        <w:tc>
          <w:tcPr>
            <w:tcW w:w="6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net of current portion</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w:t>
            </w:r>
          </w:p>
        </w:tc>
        <w:tc>
          <w:tcPr>
            <w:tcW w:w="613" w:type="dxa"/>
            <w:tcBorders/>
            <w:shd w:fill="CFF0FC" w:val="clear"/>
            <w:vAlign w:val="center"/>
          </w:tcPr>
          <w:p>
            <w:pPr>
              <w:pStyle w:val="TableContents"/>
              <w:bidi w:val="0"/>
              <w:spacing w:before="0" w:after="283"/>
              <w:jc w:val="left"/>
              <w:rPr/>
            </w:pPr>
            <w:r>
              <w:rPr/>
              <w:t> </w:t>
            </w:r>
          </w:p>
        </w:tc>
      </w:tr>
      <w:tr>
        <w:trPr/>
        <w:tc>
          <w:tcPr>
            <w:tcW w:w="6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center"/>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75,550</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center"/>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center"/>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 - operating lease</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vAlign w:val="center"/>
          </w:tcPr>
          <w:p>
            <w:pPr>
              <w:pStyle w:val="TableContents"/>
              <w:bidi w:val="0"/>
              <w:spacing w:before="0" w:after="283"/>
              <w:jc w:val="center"/>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 - operating lease, net of current portion</w:t>
            </w:r>
          </w:p>
        </w:tc>
        <w:tc>
          <w:tcPr>
            <w:tcW w:w="146" w:type="dxa"/>
            <w:tcBorders/>
            <w:shd w:fill="CFF0FC" w:val="cle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CFF0FC" w:val="clear"/>
            <w:vAlign w:val="center"/>
          </w:tcPr>
          <w:p>
            <w:pPr>
              <w:pStyle w:val="TableContents"/>
              <w:bidi w:val="0"/>
              <w:spacing w:before="0" w:after="283"/>
              <w:jc w:val="center"/>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center"/>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w:t>
            </w:r>
          </w:p>
        </w:tc>
        <w:tc>
          <w:tcPr>
            <w:tcW w:w="146" w:type="dxa"/>
            <w:tcBorders/>
            <w:shd w:fill="CFF0FC" w:val="clear"/>
            <w:vAlign w:val="center"/>
          </w:tcPr>
          <w:p>
            <w:pPr>
              <w:pStyle w:val="TableContents"/>
              <w:bidi w:val="0"/>
              <w:spacing w:before="0" w:after="283"/>
              <w:jc w:val="center"/>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400"/>
              <w:jc w:val="right"/>
              <w:rPr/>
            </w:pPr>
            <w:r>
              <w:rPr/>
              <w:t> </w:t>
            </w:r>
          </w:p>
        </w:tc>
      </w:tr>
      <w:tr>
        <w:trPr/>
        <w:tc>
          <w:tcPr>
            <w:tcW w:w="69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250,000,000 shares authorized as of September 30, 2024 and December 31, 2023;</w:t>
              <w:br/>
              <w:t>   11,975,901 shares issued and 11,696,109 shares outstanding as of September 30, 2024 and 9,465,949 shares issued and 9,186,157 shares outstanding as of December 31, 2023</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453,565</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vAlign w:val="center"/>
          </w:tcPr>
          <w:p>
            <w:pPr>
              <w:pStyle w:val="TableContents"/>
              <w:bidi w:val="0"/>
              <w:spacing w:before="0" w:after="283"/>
              <w:jc w:val="center"/>
              <w:rPr/>
            </w:pPr>
            <w:r>
              <w:rPr/>
              <w:t> </w:t>
            </w:r>
          </w:p>
        </w:tc>
        <w:tc>
          <w:tcPr>
            <w:tcW w:w="21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center"/>
              <w:rPr/>
            </w:pPr>
            <w:r>
              <w:rPr/>
              <w:t> </w:t>
            </w:r>
          </w:p>
        </w:tc>
        <w:tc>
          <w:tcPr>
            <w:tcW w:w="21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(418,292</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(279,792 shares at September 30, 2024 and at December 31, 2023)</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3" w:name="unaudited_consolidated_statements_operat"/>
      <w:bookmarkEnd w:id="3"/>
      <w:r>
        <w:rPr>
          <w:rFonts w:ascii="Times New Roman" w:hAnsi="Times New Roman"/>
          <w:color w:val="000000"/>
          <w:sz w:val="20"/>
        </w:rPr>
        <w:t>Unaudited Consolidated Statements of Operations and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0"/>
        <w:gridCol w:w="237"/>
        <w:gridCol w:w="1165"/>
        <w:gridCol w:w="166"/>
        <w:gridCol w:w="146"/>
        <w:gridCol w:w="249"/>
        <w:gridCol w:w="1102"/>
        <w:gridCol w:w="166"/>
        <w:gridCol w:w="146"/>
        <w:gridCol w:w="237"/>
        <w:gridCol w:w="1165"/>
        <w:gridCol w:w="166"/>
        <w:gridCol w:w="146"/>
        <w:gridCol w:w="249"/>
        <w:gridCol w:w="1102"/>
        <w:gridCol w:w="613"/>
      </w:tblGrid>
      <w:tr>
        <w:trPr/>
        <w:tc>
          <w:tcPr>
            <w:tcW w:w="315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150" w:type="dxa"/>
            <w:tcBorders/>
            <w:shd w:fill="FFFFFF" w:val="clear"/>
            <w:vAlign w:val="center"/>
          </w:tcPr>
          <w:p>
            <w:pPr>
              <w:pStyle w:val="TableContents"/>
              <w:bidi w:val="0"/>
              <w:spacing w:before="0" w:after="283"/>
              <w:jc w:val="center"/>
              <w:rPr/>
            </w:pPr>
            <w:r>
              <w:rPr/>
              <w:t> </w:t>
            </w:r>
          </w:p>
        </w:tc>
        <w:tc>
          <w:tcPr>
            <w:tcW w:w="3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0" w:type="dxa"/>
            <w:tcBorders/>
            <w:shd w:fill="FFFFFF" w:val="clear"/>
            <w:vAlign w:val="center"/>
          </w:tcPr>
          <w:p>
            <w:pPr>
              <w:pStyle w:val="TableContents"/>
              <w:bidi w:val="0"/>
              <w:spacing w:before="0" w:after="283"/>
              <w:jc w:val="center"/>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613" w:type="dxa"/>
            <w:tcBorders/>
            <w:shd w:fill="CFF0FC" w:val="clear"/>
            <w:vAlign w:val="center"/>
          </w:tcPr>
          <w:p>
            <w:pPr>
              <w:pStyle w:val="TableContents"/>
              <w:bidi w:val="0"/>
              <w:spacing w:before="0" w:after="283"/>
              <w:jc w:val="left"/>
              <w:rPr/>
            </w:pPr>
            <w:r>
              <w:rPr/>
              <w:t> </w:t>
            </w:r>
          </w:p>
        </w:tc>
      </w:tr>
      <w:tr>
        <w:trPr/>
        <w:tc>
          <w:tcPr>
            <w:tcW w:w="3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4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400"/>
              <w:jc w:val="right"/>
              <w:rPr/>
            </w:pPr>
            <w:r>
              <w:rPr/>
              <w:t> </w:t>
            </w:r>
          </w:p>
        </w:tc>
      </w:tr>
      <w:tr>
        <w:trPr/>
        <w:tc>
          <w:tcPr>
            <w:tcW w:w="31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237"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7"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33,831</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31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237"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613" w:type="dxa"/>
            <w:tcBorders/>
            <w:shd w:fill="FFFFFF" w:val="clear"/>
            <w:vAlign w:val="center"/>
          </w:tcPr>
          <w:p>
            <w:pPr>
              <w:pStyle w:val="TableContents"/>
              <w:bidi w:val="0"/>
              <w:spacing w:before="0" w:after="283"/>
              <w:ind w:left="0" w:right="0" w:firstLine="400"/>
              <w:jc w:val="left"/>
              <w:rPr/>
            </w:pPr>
            <w:r>
              <w:rPr/>
              <w:t> </w:t>
            </w:r>
          </w:p>
        </w:tc>
      </w:tr>
      <w:tr>
        <w:trPr/>
        <w:tc>
          <w:tcPr>
            <w:tcW w:w="31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Restructuring and other charges</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37"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7"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(44,520</w:t>
            </w:r>
          </w:p>
        </w:tc>
        <w:tc>
          <w:tcPr>
            <w:tcW w:w="6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4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400"/>
              <w:jc w:val="right"/>
              <w:rPr/>
            </w:pPr>
            <w:r>
              <w:rPr/>
              <w:t> </w:t>
            </w:r>
          </w:p>
        </w:tc>
      </w:tr>
      <w:tr>
        <w:trPr/>
        <w:tc>
          <w:tcPr>
            <w:tcW w:w="31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and investment income</w:t>
            </w:r>
          </w:p>
        </w:tc>
        <w:tc>
          <w:tcPr>
            <w:tcW w:w="237"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7"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31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expense</w:t>
            </w:r>
          </w:p>
        </w:tc>
        <w:tc>
          <w:tcPr>
            <w:tcW w:w="237"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3"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237"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7"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400"/>
              <w:jc w:val="left"/>
              <w:rPr/>
            </w:pPr>
            <w:r>
              <w:rPr/>
              <w:t> </w:t>
            </w:r>
          </w:p>
        </w:tc>
      </w:tr>
      <w:tr>
        <w:trPr/>
        <w:tc>
          <w:tcPr>
            <w:tcW w:w="315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income (expense)</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37"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(42,736</w:t>
            </w:r>
          </w:p>
        </w:tc>
        <w:tc>
          <w:tcPr>
            <w:tcW w:w="6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37"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7"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per share - basic and diluted</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 basic and diluted</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12,223,922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12,186,830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4,662,444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0" w:type="dxa"/>
            <w:tcBorders/>
            <w:shd w:fill="CFF0FC" w:val="clear"/>
            <w:vAlign w:val="center"/>
          </w:tcPr>
          <w:p>
            <w:pPr>
              <w:pStyle w:val="TableContents"/>
              <w:bidi w:val="0"/>
              <w:spacing w:before="0" w:after="283"/>
              <w:ind w:left="400" w:right="0" w:firstLine="400"/>
              <w:jc w:val="left"/>
              <w:rPr/>
            </w:pPr>
            <w:r>
              <w:rPr/>
              <w:t> </w:t>
            </w:r>
          </w:p>
        </w:tc>
        <w:tc>
          <w:tcPr>
            <w:tcW w:w="14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4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1"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3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4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3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(42,748</w:t>
            </w:r>
          </w:p>
        </w:tc>
        <w:tc>
          <w:tcPr>
            <w:tcW w:w="6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Comprehensive loss</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(42,582</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20" w:after="283"/>
        <w:jc w:val="center"/>
        <w:rPr>
          <w:rFonts w:ascii="Times New Roman" w:hAnsi="Times New Roman"/>
          <w:color w:val="000000"/>
          <w:sz w:val="20"/>
        </w:rPr>
      </w:pPr>
      <w:bookmarkStart w:id="4" w:name="unaudited_consolidated_statements_stockh"/>
      <w:bookmarkEnd w:id="4"/>
      <w:r>
        <w:rPr>
          <w:rFonts w:ascii="Times New Roman" w:hAnsi="Times New Roman"/>
          <w:color w:val="000000"/>
          <w:sz w:val="20"/>
        </w:rPr>
        <w:t>Unaudited Consolidated Statements of Stockholders’ Equity</w:t>
      </w:r>
    </w:p>
    <w:p>
      <w:pPr>
        <w:pStyle w:val="TextBody"/>
        <w:bidi w:val="0"/>
        <w:spacing w:before="20" w:after="283"/>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spacing w:before="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250"/>
        <w:gridCol w:w="146"/>
        <w:gridCol w:w="916"/>
        <w:gridCol w:w="166"/>
        <w:gridCol w:w="249"/>
        <w:gridCol w:w="442"/>
        <w:gridCol w:w="146"/>
        <w:gridCol w:w="196"/>
        <w:gridCol w:w="691"/>
        <w:gridCol w:w="146"/>
        <w:gridCol w:w="363"/>
        <w:gridCol w:w="808"/>
        <w:gridCol w:w="166"/>
        <w:gridCol w:w="217"/>
        <w:gridCol w:w="834"/>
        <w:gridCol w:w="166"/>
        <w:gridCol w:w="146"/>
        <w:gridCol w:w="751"/>
        <w:gridCol w:w="166"/>
        <w:gridCol w:w="196"/>
        <w:gridCol w:w="571"/>
        <w:gridCol w:w="166"/>
        <w:gridCol w:w="250"/>
        <w:gridCol w:w="844"/>
        <w:gridCol w:w="213"/>
      </w:tblGrid>
      <w:tr>
        <w:trPr/>
        <w:tc>
          <w:tcPr>
            <w:tcW w:w="1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50" w:type="dxa"/>
            <w:tcBorders/>
            <w:shd w:fill="FFFFFF" w:val="clear"/>
            <w:vAlign w:val="center"/>
          </w:tcPr>
          <w:p>
            <w:pPr>
              <w:pStyle w:val="TableContents"/>
              <w:bidi w:val="0"/>
              <w:spacing w:before="0" w:after="283"/>
              <w:jc w:val="center"/>
              <w:rPr/>
            </w:pPr>
            <w:r>
              <w:rPr/>
              <w:t> </w:t>
            </w:r>
          </w:p>
        </w:tc>
        <w:tc>
          <w:tcPr>
            <w:tcW w:w="19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stock </w:t>
              <w:br/>
              <w:t>$0.001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8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vAlign w:val="center"/>
          </w:tcPr>
          <w:p>
            <w:pPr>
              <w:pStyle w:val="TableContents"/>
              <w:bidi w:val="0"/>
              <w:spacing w:before="0" w:after="283"/>
              <w:jc w:val="center"/>
              <w:rPr/>
            </w:pPr>
            <w:r>
              <w:rPr/>
              <w:t> </w:t>
            </w:r>
          </w:p>
        </w:tc>
      </w:tr>
      <w:tr>
        <w:trPr/>
        <w:tc>
          <w:tcPr>
            <w:tcW w:w="1250"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0" w:type="dxa"/>
            <w:tcBorders/>
            <w:shd w:fill="FFFFFF" w:val="clear"/>
            <w:vAlign w:val="center"/>
          </w:tcPr>
          <w:p>
            <w:pPr>
              <w:pStyle w:val="TableContents"/>
              <w:bidi w:val="0"/>
              <w:spacing w:before="0" w:after="283"/>
              <w:jc w:val="center"/>
              <w:rPr/>
            </w:pPr>
            <w:r>
              <w:rPr/>
              <w:t> </w:t>
            </w:r>
          </w:p>
        </w:tc>
        <w:tc>
          <w:tcPr>
            <w:tcW w:w="8742" w:type="dxa"/>
            <w:gridSpan w:val="2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2024</w:t>
            </w:r>
          </w:p>
        </w:tc>
        <w:tc>
          <w:tcPr>
            <w:tcW w:w="213" w:type="dxa"/>
            <w:tcBorders/>
            <w:shd w:fill="FFFFFF" w:val="clear"/>
            <w:vAlign w:val="center"/>
          </w:tcPr>
          <w:p>
            <w:pPr>
              <w:pStyle w:val="TableContents"/>
              <w:bidi w:val="0"/>
              <w:spacing w:before="0" w:after="283"/>
              <w:jc w:val="center"/>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11,978,781</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456,450</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(440,820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13,124</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restricted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11,975,901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center"/>
              <w:rPr/>
            </w:pPr>
            <w:r>
              <w:rPr/>
              <w:t> </w:t>
            </w:r>
          </w:p>
        </w:tc>
        <w:tc>
          <w:tcPr>
            <w:tcW w:w="8742" w:type="dxa"/>
            <w:gridSpan w:val="2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2023</w:t>
            </w:r>
          </w:p>
        </w:tc>
        <w:tc>
          <w:tcPr>
            <w:tcW w:w="213" w:type="dxa"/>
            <w:tcBorders/>
            <w:shd w:fill="FFFFFF" w:val="clear"/>
            <w:vAlign w:val="center"/>
          </w:tcPr>
          <w:p>
            <w:pPr>
              <w:pStyle w:val="TableContents"/>
              <w:bidi w:val="0"/>
              <w:spacing w:before="0" w:after="283"/>
              <w:jc w:val="center"/>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4,854,048</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444,974</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(387,689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54,774</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27,156</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restricted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Reverse Split: fractional share adjustment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(loss) on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(12,078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4,878,089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pPr>
            <w:r>
              <w:rPr/>
              <w:t> </w:t>
            </w:r>
          </w:p>
        </w:tc>
        <w:tc>
          <w:tcPr>
            <w:tcW w:w="8742" w:type="dxa"/>
            <w:gridSpan w:val="23"/>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2024</w:t>
            </w:r>
          </w:p>
        </w:tc>
        <w:tc>
          <w:tcPr>
            <w:tcW w:w="213" w:type="dxa"/>
            <w:tcBorders/>
            <w:shd w:fill="CFF0FC" w:val="clear"/>
            <w:vAlign w:val="center"/>
          </w:tcPr>
          <w:p>
            <w:pPr>
              <w:pStyle w:val="TableContents"/>
              <w:bidi w:val="0"/>
              <w:spacing w:before="0" w:after="283"/>
              <w:jc w:val="center"/>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9,465,949</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453,565</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(418,292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32,771</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in connection with at-the-market offering, net of issuance costs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7,839</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82,293</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pre-funded warrants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2,251,000</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362,700</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restricted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(193,880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2,821</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2,821</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(loss) on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(22,645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11,975,901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sz w:val="4"/>
                <w:szCs w:val="4"/>
              </w:rPr>
            </w:pPr>
            <w:r>
              <w:rPr>
                <w:sz w:val="4"/>
                <w:szCs w:val="4"/>
              </w:rPr>
            </w:r>
          </w:p>
        </w:tc>
        <w:tc>
          <w:tcPr>
            <w:tcW w:w="8742" w:type="dxa"/>
            <w:gridSpan w:val="2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2023</w:t>
            </w:r>
          </w:p>
        </w:tc>
        <w:tc>
          <w:tcPr>
            <w:tcW w:w="213" w:type="dxa"/>
            <w:tcBorders/>
            <w:shd w:fill="FFFFFF" w:val="clear"/>
            <w:vAlign w:val="center"/>
          </w:tcPr>
          <w:p>
            <w:pPr>
              <w:pStyle w:val="TableContents"/>
              <w:bidi w:val="0"/>
              <w:spacing w:before="0" w:after="283"/>
              <w:jc w:val="center"/>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4,728,874</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442,303</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(357,019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82,610</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in connection with at-the-market offering, net of issuance costs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115,966</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10,814</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34,489</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Cancellation of restricted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Reverse Split: fractional share adjustment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80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w:t>
            </w:r>
          </w:p>
        </w:tc>
        <w:tc>
          <w:tcPr>
            <w:tcW w:w="213" w:type="dxa"/>
            <w:tcBorders/>
            <w:shd w:fill="CFF0FC"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(loss) on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213" w:type="dxa"/>
            <w:tcBorders/>
            <w:shd w:fill="FFFFFF" w:val="clear"/>
            <w:vAlign w:val="center"/>
          </w:tcPr>
          <w:p>
            <w:pPr>
              <w:pStyle w:val="TableContents"/>
              <w:bidi w:val="0"/>
              <w:spacing w:before="0" w:after="283"/>
              <w:jc w:val="left"/>
              <w:rPr/>
            </w:pPr>
            <w:r>
              <w:rPr/>
              <w:t> </w:t>
            </w:r>
          </w:p>
        </w:tc>
      </w:tr>
      <w:tr>
        <w:trPr/>
        <w:tc>
          <w:tcPr>
            <w:tcW w:w="1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(42,748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4,878,089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445,679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43,404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Synlogic, INC. AND SUBSIDIARIES</w:t>
      </w:r>
    </w:p>
    <w:p>
      <w:pPr>
        <w:pStyle w:val="TextBody"/>
        <w:bidi w:val="0"/>
        <w:spacing w:before="120" w:after="283"/>
        <w:jc w:val="center"/>
        <w:rPr>
          <w:rFonts w:ascii="Times New Roman" w:hAnsi="Times New Roman"/>
          <w:color w:val="000000"/>
          <w:sz w:val="20"/>
        </w:rPr>
      </w:pPr>
      <w:bookmarkStart w:id="5" w:name="unaudited_consolidated_statements_cash_f"/>
      <w:bookmarkEnd w:id="5"/>
      <w:r>
        <w:rPr>
          <w:rFonts w:ascii="Times New Roman" w:hAnsi="Times New Roman"/>
          <w:color w:val="000000"/>
          <w:sz w:val="20"/>
        </w:rPr>
        <w:t>Unaudited Consolidated Statements of Cash Flows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763"/>
        <w:gridCol w:w="746"/>
        <w:gridCol w:w="285"/>
        <w:gridCol w:w="1000"/>
        <w:gridCol w:w="166"/>
        <w:gridCol w:w="146"/>
        <w:gridCol w:w="285"/>
        <w:gridCol w:w="1000"/>
        <w:gridCol w:w="814"/>
      </w:tblGrid>
      <w:tr>
        <w:trPr/>
        <w:tc>
          <w:tcPr>
            <w:tcW w:w="57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763"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righ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3"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right"/>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746" w:type="dxa"/>
            <w:tcBorders/>
            <w:shd w:fill="CFF0FC" w:val="clear"/>
            <w:vAlign w:val="center"/>
          </w:tcPr>
          <w:p>
            <w:pPr>
              <w:pStyle w:val="TableContents"/>
              <w:bidi w:val="0"/>
              <w:spacing w:before="0" w:after="283"/>
              <w:jc w:val="right"/>
              <w:rPr/>
            </w:pPr>
            <w:r>
              <w:rPr/>
              <w:t> </w:t>
            </w:r>
          </w:p>
        </w:tc>
        <w:tc>
          <w:tcPr>
            <w:tcW w:w="12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85"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200"/>
              <w:jc w:val="right"/>
              <w:rPr/>
            </w:pPr>
            <w:r>
              <w:rPr/>
              <w:t> </w:t>
            </w:r>
          </w:p>
        </w:tc>
      </w:tr>
      <w:tr>
        <w:trPr/>
        <w:tc>
          <w:tcPr>
            <w:tcW w:w="57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(42,748</w:t>
            </w:r>
          </w:p>
        </w:tc>
        <w:tc>
          <w:tcPr>
            <w:tcW w:w="8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12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85"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400"/>
              <w:jc w:val="right"/>
              <w:rPr/>
            </w:pPr>
            <w:r>
              <w:rPr/>
              <w:t> </w:t>
            </w:r>
          </w:p>
        </w:tc>
      </w:tr>
      <w:tr>
        <w:trPr/>
        <w:tc>
          <w:tcPr>
            <w:tcW w:w="5763"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746" w:type="dxa"/>
            <w:tcBorders/>
            <w:shd w:fill="FFFFFF" w:val="clear"/>
            <w:vAlign w:val="center"/>
          </w:tcPr>
          <w:p>
            <w:pPr>
              <w:pStyle w:val="TableContents"/>
              <w:bidi w:val="0"/>
              <w:spacing w:before="0" w:after="283"/>
              <w:ind w:left="400" w:right="0" w:firstLine="400"/>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576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746" w:type="dxa"/>
            <w:tcBorders/>
            <w:shd w:fill="CFF0FC" w:val="clear"/>
            <w:vAlign w:val="center"/>
          </w:tcPr>
          <w:p>
            <w:pPr>
              <w:pStyle w:val="TableContents"/>
              <w:bidi w:val="0"/>
              <w:spacing w:before="0" w:after="283"/>
              <w:ind w:left="400" w:right="0" w:firstLine="4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814"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loss on fixed assets</w:t>
            </w:r>
          </w:p>
        </w:tc>
        <w:tc>
          <w:tcPr>
            <w:tcW w:w="746" w:type="dxa"/>
            <w:tcBorders/>
            <w:shd w:fill="FFFFFF" w:val="clear"/>
            <w:vAlign w:val="center"/>
          </w:tcPr>
          <w:p>
            <w:pPr>
              <w:pStyle w:val="TableContents"/>
              <w:bidi w:val="0"/>
              <w:spacing w:before="0" w:after="283"/>
              <w:ind w:left="400" w:right="0" w:firstLine="400"/>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color w:val="000000"/>
              </w:rPr>
            </w:pPr>
            <w:r>
              <w:rPr>
                <w:color w:val="000000"/>
              </w:rPr>
              <w:t>—</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576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loss on ROU assets</w:t>
            </w:r>
          </w:p>
        </w:tc>
        <w:tc>
          <w:tcPr>
            <w:tcW w:w="746" w:type="dxa"/>
            <w:tcBorders/>
            <w:shd w:fill="CFF0FC" w:val="clear"/>
            <w:vAlign w:val="center"/>
          </w:tcPr>
          <w:p>
            <w:pPr>
              <w:pStyle w:val="TableContents"/>
              <w:bidi w:val="0"/>
              <w:spacing w:before="0" w:after="283"/>
              <w:ind w:left="400" w:right="0" w:firstLine="4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color w:val="000000"/>
              </w:rPr>
            </w:pPr>
            <w:r>
              <w:rPr>
                <w:color w:val="000000"/>
              </w:rPr>
              <w:t>—</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5763"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lease termination</w:t>
            </w:r>
          </w:p>
        </w:tc>
        <w:tc>
          <w:tcPr>
            <w:tcW w:w="746" w:type="dxa"/>
            <w:tcBorders/>
            <w:shd w:fill="FFFFFF" w:val="clear"/>
            <w:vAlign w:val="center"/>
          </w:tcPr>
          <w:p>
            <w:pPr>
              <w:pStyle w:val="TableContents"/>
              <w:bidi w:val="0"/>
              <w:spacing w:before="0" w:after="283"/>
              <w:ind w:left="400" w:right="0" w:firstLine="400"/>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color w:val="000000"/>
              </w:rPr>
            </w:pPr>
            <w:r>
              <w:rPr>
                <w:color w:val="000000"/>
              </w:rPr>
              <w:t>—</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576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prepaid research and development</w:t>
            </w:r>
          </w:p>
        </w:tc>
        <w:tc>
          <w:tcPr>
            <w:tcW w:w="746" w:type="dxa"/>
            <w:tcBorders/>
            <w:shd w:fill="CFF0FC" w:val="clear"/>
            <w:vAlign w:val="center"/>
          </w:tcPr>
          <w:p>
            <w:pPr>
              <w:pStyle w:val="TableContents"/>
              <w:bidi w:val="0"/>
              <w:spacing w:before="0" w:after="283"/>
              <w:ind w:left="400" w:right="0" w:firstLine="4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color w:val="000000"/>
              </w:rPr>
            </w:pPr>
            <w:r>
              <w:rPr>
                <w:color w:val="000000"/>
              </w:rPr>
              <w:t>—</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5763"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compensation expense</w:t>
            </w:r>
          </w:p>
        </w:tc>
        <w:tc>
          <w:tcPr>
            <w:tcW w:w="746" w:type="dxa"/>
            <w:tcBorders/>
            <w:shd w:fill="FFFFFF" w:val="clear"/>
            <w:vAlign w:val="center"/>
          </w:tcPr>
          <w:p>
            <w:pPr>
              <w:pStyle w:val="TableContents"/>
              <w:bidi w:val="0"/>
              <w:spacing w:before="0" w:after="283"/>
              <w:ind w:left="400" w:right="0" w:firstLine="400"/>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576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746" w:type="dxa"/>
            <w:tcBorders/>
            <w:shd w:fill="CFF0FC" w:val="clear"/>
            <w:vAlign w:val="center"/>
          </w:tcPr>
          <w:p>
            <w:pPr>
              <w:pStyle w:val="TableContents"/>
              <w:bidi w:val="0"/>
              <w:spacing w:before="0" w:after="283"/>
              <w:ind w:left="400" w:right="0" w:firstLine="4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color w:val="000000"/>
              </w:rPr>
            </w:pPr>
            <w:r>
              <w:rPr>
                <w:color w:val="000000"/>
              </w:rPr>
              <w:t>—</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5763"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Accretion/amortization of investment securities</w:t>
            </w:r>
          </w:p>
        </w:tc>
        <w:tc>
          <w:tcPr>
            <w:tcW w:w="746" w:type="dxa"/>
            <w:tcBorders/>
            <w:shd w:fill="FFFFFF" w:val="clear"/>
            <w:vAlign w:val="center"/>
          </w:tcPr>
          <w:p>
            <w:pPr>
              <w:pStyle w:val="TableContents"/>
              <w:bidi w:val="0"/>
              <w:spacing w:before="0" w:after="283"/>
              <w:ind w:left="400" w:right="0" w:firstLine="400"/>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814"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 in carrying amount of operating lease right of use asset</w:t>
            </w:r>
          </w:p>
        </w:tc>
        <w:tc>
          <w:tcPr>
            <w:tcW w:w="746" w:type="dxa"/>
            <w:tcBorders/>
            <w:shd w:fill="CFF0FC" w:val="clear"/>
            <w:vAlign w:val="center"/>
          </w:tcPr>
          <w:p>
            <w:pPr>
              <w:pStyle w:val="TableContents"/>
              <w:bidi w:val="0"/>
              <w:spacing w:before="0" w:after="283"/>
              <w:ind w:left="400" w:right="0" w:firstLine="4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5763"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746" w:type="dxa"/>
            <w:tcBorders/>
            <w:shd w:fill="FFFFFF" w:val="clear"/>
            <w:vAlign w:val="center"/>
          </w:tcPr>
          <w:p>
            <w:pPr>
              <w:pStyle w:val="TableContents"/>
              <w:bidi w:val="0"/>
              <w:spacing w:before="0" w:after="283"/>
              <w:ind w:left="400" w:right="0" w:firstLine="400"/>
              <w:jc w:val="right"/>
              <w:rPr/>
            </w:pPr>
            <w:r>
              <w:rPr/>
              <w:t> </w:t>
            </w:r>
          </w:p>
        </w:tc>
        <w:tc>
          <w:tcPr>
            <w:tcW w:w="12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85"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600"/>
              <w:jc w:val="right"/>
              <w:rPr/>
            </w:pPr>
            <w:r>
              <w:rPr/>
              <w:t> </w:t>
            </w:r>
          </w:p>
        </w:tc>
      </w:tr>
      <w:tr>
        <w:trPr/>
        <w:tc>
          <w:tcPr>
            <w:tcW w:w="5763"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746" w:type="dxa"/>
            <w:tcBorders/>
            <w:shd w:fill="CFF0FC" w:val="clear"/>
            <w:vAlign w:val="center"/>
          </w:tcPr>
          <w:p>
            <w:pPr>
              <w:pStyle w:val="TableContents"/>
              <w:bidi w:val="0"/>
              <w:spacing w:before="0" w:after="283"/>
              <w:ind w:left="600" w:right="0" w:firstLine="6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814"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research and development, net of current portion</w:t>
            </w:r>
          </w:p>
        </w:tc>
        <w:tc>
          <w:tcPr>
            <w:tcW w:w="746" w:type="dxa"/>
            <w:tcBorders/>
            <w:shd w:fill="FFFFFF" w:val="clear"/>
            <w:vAlign w:val="center"/>
          </w:tcPr>
          <w:p>
            <w:pPr>
              <w:pStyle w:val="TableContents"/>
              <w:bidi w:val="0"/>
              <w:spacing w:before="0" w:after="283"/>
              <w:ind w:left="600" w:right="0" w:firstLine="600"/>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814"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746" w:type="dxa"/>
            <w:tcBorders/>
            <w:shd w:fill="CFF0FC" w:val="clear"/>
            <w:vAlign w:val="center"/>
          </w:tcPr>
          <w:p>
            <w:pPr>
              <w:pStyle w:val="TableContents"/>
              <w:bidi w:val="0"/>
              <w:spacing w:before="0" w:after="283"/>
              <w:ind w:left="600" w:right="0" w:firstLine="6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814"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746" w:type="dxa"/>
            <w:tcBorders/>
            <w:shd w:fill="FFFFFF" w:val="clear"/>
            <w:vAlign w:val="center"/>
          </w:tcPr>
          <w:p>
            <w:pPr>
              <w:pStyle w:val="TableContents"/>
              <w:bidi w:val="0"/>
              <w:spacing w:before="0" w:after="283"/>
              <w:ind w:left="600" w:right="0" w:firstLine="600"/>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814"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746" w:type="dxa"/>
            <w:tcBorders/>
            <w:shd w:fill="CFF0FC" w:val="clear"/>
            <w:vAlign w:val="center"/>
          </w:tcPr>
          <w:p>
            <w:pPr>
              <w:pStyle w:val="TableContents"/>
              <w:bidi w:val="0"/>
              <w:spacing w:before="0" w:after="283"/>
              <w:ind w:left="600" w:right="0" w:firstLine="6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814"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746" w:type="dxa"/>
            <w:tcBorders/>
            <w:shd w:fill="FFFFFF" w:val="clear"/>
            <w:vAlign w:val="center"/>
          </w:tcPr>
          <w:p>
            <w:pPr>
              <w:pStyle w:val="TableContents"/>
              <w:bidi w:val="0"/>
              <w:spacing w:before="0" w:after="283"/>
              <w:ind w:left="600" w:right="0" w:firstLine="600"/>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746" w:type="dxa"/>
            <w:tcBorders/>
            <w:shd w:fill="CFF0FC" w:val="cle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746" w:type="dxa"/>
            <w:tcBorders/>
            <w:shd w:fill="FFFFFF" w:val="clear"/>
            <w:vAlign w:val="center"/>
          </w:tcPr>
          <w:p>
            <w:pPr>
              <w:pStyle w:val="TableContents"/>
              <w:bidi w:val="0"/>
              <w:spacing w:before="0" w:after="283"/>
              <w:jc w:val="right"/>
              <w:rPr/>
            </w:pPr>
            <w:r>
              <w:rPr/>
              <w:t> </w:t>
            </w:r>
          </w:p>
        </w:tc>
        <w:tc>
          <w:tcPr>
            <w:tcW w:w="12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85"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200"/>
              <w:jc w:val="right"/>
              <w:rPr/>
            </w:pPr>
            <w:r>
              <w:rPr/>
              <w:t> </w:t>
            </w:r>
          </w:p>
        </w:tc>
      </w:tr>
      <w:tr>
        <w:trPr/>
        <w:tc>
          <w:tcPr>
            <w:tcW w:w="57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(8,831</w:t>
            </w:r>
          </w:p>
        </w:tc>
        <w:tc>
          <w:tcPr>
            <w:tcW w:w="8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maturity of marketable securities</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62,398</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57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8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746" w:type="dxa"/>
            <w:tcBorders/>
            <w:shd w:fill="CFF0FC" w:val="cle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746" w:type="dxa"/>
            <w:tcBorders/>
            <w:shd w:fill="FFFFFF" w:val="clear"/>
            <w:vAlign w:val="center"/>
          </w:tcPr>
          <w:p>
            <w:pPr>
              <w:pStyle w:val="TableContents"/>
              <w:bidi w:val="0"/>
              <w:spacing w:before="0" w:after="283"/>
              <w:jc w:val="right"/>
              <w:rPr/>
            </w:pPr>
            <w:r>
              <w:rPr/>
              <w:t> </w:t>
            </w:r>
          </w:p>
        </w:tc>
        <w:tc>
          <w:tcPr>
            <w:tcW w:w="12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85"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200"/>
              <w:jc w:val="right"/>
              <w:rPr/>
            </w:pPr>
            <w:r>
              <w:rPr/>
              <w:t> </w:t>
            </w:r>
          </w:p>
        </w:tc>
      </w:tr>
      <w:tr>
        <w:trPr/>
        <w:tc>
          <w:tcPr>
            <w:tcW w:w="57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finance lease obligations</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8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in connection with at-the-market offering, net of issuance costs</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57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purchases and exercise of stock options</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pPr>
            <w:r>
              <w:rPr/>
              <w:t> </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57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pre-funded warrants</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746" w:type="dxa"/>
            <w:tcBorders/>
            <w:shd w:fill="CFF0FC" w:val="cle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7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8,675</w:t>
            </w:r>
          </w:p>
        </w:tc>
        <w:tc>
          <w:tcPr>
            <w:tcW w:w="814" w:type="dxa"/>
            <w:tcBorders/>
            <w:shd w:fill="FFFFFF" w:val="clear"/>
            <w:vAlign w:val="center"/>
          </w:tcPr>
          <w:p>
            <w:pPr>
              <w:pStyle w:val="TableContents"/>
              <w:bidi w:val="0"/>
              <w:spacing w:before="0" w:after="283"/>
              <w:jc w:val="left"/>
              <w:rPr/>
            </w:pPr>
            <w:r>
              <w:rPr/>
              <w:t> </w:t>
            </w:r>
          </w:p>
        </w:tc>
      </w:tr>
      <w:tr>
        <w:trPr/>
        <w:tc>
          <w:tcPr>
            <w:tcW w:w="57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746" w:type="dxa"/>
            <w:tcBorders/>
            <w:shd w:fill="CFF0FC" w:val="cle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746" w:type="dxa"/>
            <w:tcBorders/>
            <w:shd w:fill="FFFFFF" w:val="cle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25,633</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3"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pPr>
            <w:r>
              <w:rPr/>
              <w:t> </w:t>
            </w:r>
          </w:p>
        </w:tc>
        <w:tc>
          <w:tcPr>
            <w:tcW w:w="128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85"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5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activities:</w:t>
            </w:r>
          </w:p>
        </w:tc>
        <w:tc>
          <w:tcPr>
            <w:tcW w:w="746" w:type="dxa"/>
            <w:tcBorders/>
            <w:shd w:fill="FFFFFF" w:val="clear"/>
            <w:vAlign w:val="center"/>
          </w:tcPr>
          <w:p>
            <w:pPr>
              <w:pStyle w:val="TableContents"/>
              <w:bidi w:val="0"/>
              <w:spacing w:before="0" w:after="283"/>
              <w:jc w:val="right"/>
              <w:rPr/>
            </w:pPr>
            <w:r>
              <w:rPr/>
              <w:t> </w:t>
            </w:r>
          </w:p>
        </w:tc>
        <w:tc>
          <w:tcPr>
            <w:tcW w:w="12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85"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200"/>
              <w:jc w:val="right"/>
              <w:rPr/>
            </w:pPr>
            <w:r>
              <w:rPr/>
              <w:t> </w:t>
            </w:r>
          </w:p>
        </w:tc>
      </w:tr>
      <w:tr>
        <w:trPr/>
        <w:tc>
          <w:tcPr>
            <w:tcW w:w="576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Decrease in right-of-use asset and operating lease liabilities due to lease termination</w:t>
            </w:r>
          </w:p>
        </w:tc>
        <w:tc>
          <w:tcPr>
            <w:tcW w:w="746" w:type="dxa"/>
            <w:tcBorders/>
            <w:shd w:fill="CFF0FC" w:val="clear"/>
            <w:vAlign w:val="center"/>
          </w:tcPr>
          <w:p>
            <w:pPr>
              <w:pStyle w:val="TableContents"/>
              <w:bidi w:val="0"/>
              <w:spacing w:before="0" w:after="283"/>
              <w:jc w:val="righ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vAlign w:val="center"/>
          </w:tcPr>
          <w:p>
            <w:pPr>
              <w:pStyle w:val="TableContents"/>
              <w:bidi w:val="0"/>
              <w:spacing w:before="0" w:after="283"/>
              <w:jc w:val="right"/>
              <w:rPr>
                <w:color w:val="000000"/>
              </w:rPr>
            </w:pPr>
            <w:r>
              <w:rPr>
                <w:color w:val="000000"/>
              </w:rPr>
              <w:t>—</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576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Assets acquired under operating lease obligation</w:t>
            </w:r>
          </w:p>
        </w:tc>
        <w:tc>
          <w:tcPr>
            <w:tcW w:w="7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57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sales included in other current assets</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vAlign w:val="center"/>
          </w:tcPr>
          <w:p>
            <w:pPr>
              <w:pStyle w:val="TableContents"/>
              <w:bidi w:val="0"/>
              <w:spacing w:before="0" w:after="283"/>
              <w:jc w:val="right"/>
              <w:rPr>
                <w:color w:val="000000"/>
              </w:rPr>
            </w:pPr>
            <w:r>
              <w:rPr>
                <w:color w:val="000000"/>
              </w:rPr>
              <w:t>—</w:t>
            </w:r>
          </w:p>
        </w:tc>
        <w:tc>
          <w:tcPr>
            <w:tcW w:w="814" w:type="dxa"/>
            <w:tcBorders/>
            <w:shd w:fill="CFF0FC" w:val="clear"/>
            <w:vAlign w:val="center"/>
          </w:tcPr>
          <w:p>
            <w:pPr>
              <w:pStyle w:val="TableContents"/>
              <w:bidi w:val="0"/>
              <w:spacing w:before="0" w:after="283"/>
              <w:jc w:val="left"/>
              <w:rPr/>
            </w:pPr>
            <w:r>
              <w:rPr/>
              <w:t> </w:t>
            </w:r>
          </w:p>
        </w:tc>
      </w:tr>
      <w:tr>
        <w:trPr/>
        <w:tc>
          <w:tcPr>
            <w:tcW w:w="57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financing activities:</w:t>
            </w:r>
          </w:p>
        </w:tc>
        <w:tc>
          <w:tcPr>
            <w:tcW w:w="746" w:type="dxa"/>
            <w:tcBorders/>
            <w:shd w:fill="FFFFFF" w:val="clear"/>
            <w:vAlign w:val="center"/>
          </w:tcPr>
          <w:p>
            <w:pPr>
              <w:pStyle w:val="TableContents"/>
              <w:bidi w:val="0"/>
              <w:spacing w:before="0" w:after="283"/>
              <w:jc w:val="right"/>
              <w:rPr/>
            </w:pPr>
            <w:r>
              <w:rPr/>
              <w:t> </w:t>
            </w:r>
          </w:p>
        </w:tc>
        <w:tc>
          <w:tcPr>
            <w:tcW w:w="128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85"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200"/>
              <w:jc w:val="right"/>
              <w:rPr/>
            </w:pPr>
            <w:r>
              <w:rPr/>
              <w:t> </w:t>
            </w:r>
          </w:p>
        </w:tc>
      </w:tr>
      <w:tr>
        <w:trPr/>
        <w:tc>
          <w:tcPr>
            <w:tcW w:w="576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746" w:type="dxa"/>
            <w:tcBorders/>
            <w:shd w:fill="CFF0FC" w:val="clear"/>
            <w:vAlign w:val="center"/>
          </w:tcPr>
          <w:p>
            <w:pPr>
              <w:pStyle w:val="TableContents"/>
              <w:bidi w:val="0"/>
              <w:spacing w:before="0" w:after="283"/>
              <w:jc w:val="righ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576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746" w:type="dxa"/>
            <w:tcBorders/>
            <w:shd w:fill="FFFFFF" w:val="clear"/>
            <w:vAlign w:val="center"/>
          </w:tcPr>
          <w:p>
            <w:pPr>
              <w:pStyle w:val="TableContents"/>
              <w:bidi w:val="0"/>
              <w:spacing w:before="0" w:after="283"/>
              <w:ind w:left="200" w:right="0" w:firstLine="200"/>
              <w:jc w:val="right"/>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576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included in accounts payable and accrued expenses</w:t>
            </w:r>
          </w:p>
        </w:tc>
        <w:tc>
          <w:tcPr>
            <w:tcW w:w="746" w:type="dxa"/>
            <w:tcBorders/>
            <w:shd w:fill="CFF0FC" w:val="clear"/>
            <w:vAlign w:val="center"/>
          </w:tcPr>
          <w:p>
            <w:pPr>
              <w:pStyle w:val="TableContents"/>
              <w:bidi w:val="0"/>
              <w:spacing w:before="0" w:after="283"/>
              <w:ind w:left="200" w:right="0" w:firstLine="200"/>
              <w:jc w:val="righ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81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SYNLOGIC, INC. AND SUBSIDIARIES</w:t>
      </w:r>
    </w:p>
    <w:p>
      <w:pPr>
        <w:pStyle w:val="TextBody"/>
        <w:bidi w:val="0"/>
        <w:spacing w:before="240" w:after="283"/>
        <w:jc w:val="center"/>
        <w:rPr>
          <w:rFonts w:ascii="Times New Roman" w:hAnsi="Times New Roman"/>
          <w:b/>
          <w:color w:val="000000"/>
          <w:sz w:val="20"/>
        </w:rPr>
      </w:pPr>
      <w:bookmarkStart w:id="6" w:name="notes_to_unaudited_consolidated_financia"/>
      <w:bookmarkEnd w:id="6"/>
      <w:r>
        <w:rPr>
          <w:rFonts w:ascii="Times New Roman" w:hAnsi="Times New Roman"/>
          <w:b/>
          <w:color w:val="000000"/>
          <w:sz w:val="20"/>
        </w:rPr>
        <w:t>Notes to Unaudited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Nature of Business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Synlogic, Inc., together with its wholly owned and consolidated subsidiaries (Synlogic or the Company), is a clinical-stage biopharmaceutical company applying synthetic biology to the discovery and development of Synthetic Biotics. Synthetic Biotics are generated from Synlogic’s proprietary platform, leveraging a reproducible, modular approach to the generation of novel drug candidates that perform or deliver critical therapeutic functions. Synthetic Biotics are designed to metabolize a toxic substance, compensate for missing or damaged metabolic pathways or deliver combinations of therapeutic factors. Synlogic’s goal is to discover, develop and ultimately commercialize Synthetic Biotics. Since incorporation, the Company has devoted substantially all of its efforts to the research and development of its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and its board of directors decided to discontinue the Synpheny-3 trial and to conduct a comprehensive review of strategic alternatives. The Company also announced a corporate restructuring that resulted in a reduction in its workforce by more than 90%, leaving a core team of individuals to lead the strategic review process. (see Note 9).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Going Concern and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consolidated financial statements have been prepared assuming it will continue as a going concern. The going concern assumption contemplates the continuity of operations, and the realization of assets and the satisfaction of liabilities in the ordinary course of business. The Company has historically generated negative cash flows from operations and has an accumulated deficit of $440.9 million at September 30, 2024. At September 30, 2024, the Company had $19.4 million in unrestricted cash and cash equivalents. The Company believes the conditions and events raising substantial doubt about its ability to continue as a going concern no longer exist following the execution of the corporate restructuring (see Note 9). Accordingly, its current cash and cash equivalents as of September 30, 2024 will be sufficient to fund its operations at the current levels for at least the next 12 months from the date of this filing. The Company continues to review strategic alternatives and expects to continue to incur costs and expenditures in connection with the process of evaluating strategic alternatives.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described in the Company’s audited financial statements as of and for the year ended December 31, 2023, and the notes thereto, which are included in the Company’s Annual Report on Form 10-K for the year ended December 31, 2023, filed with the Securities and Exchange Commission (SEC) on March 19, 2024 (the 2023 Annual Report), have had no material changes during the nine months ended September 30, 2024.</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2023, the Company effected a one-for-fifteen reverse stock split of its issued and outstanding common stock, which also adjusted all outstanding warrants. Accordingly, all share and per share amounts for all periods presented in the accompanying consolidated financial statements and notes thereto have been adjusted retroactively, where applicable, to reflect this stock split. All fractional shares resulting from the reverse stock split were paid in cash.</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and the related disclosures as of September 30, 2024 and for the three and nine months ended September 30, 2024 and 2023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2023 and 2022 audited consolidated financial statements and notes included in the 2023 Annual Report. The consolidated balance sheet as of December 31, 2023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nine months ended September 30, 2024 and 2023. The results of operations for the interim periods are not necessarily indicative of the results to be expected for the year ending December 31, 2024 or any other interim period or future year or period.</w:t>
      </w:r>
    </w:p>
    <w:p>
      <w:pPr>
        <w:pStyle w:val="TextBody"/>
        <w:bidi w:val="0"/>
        <w:spacing w:before="16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Synlogic and its wholly owned subsidiaries. All intercompany accounts and transactions have been eliminated in consolidation.</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or other accounting standard setting boards that the Company adopts as of the effective date. Unless otherwise discussed below, recently issued pronouncements that are or will be applicable to the Company did not have, or are not expected to have, a material impact on the Company’s present or future financial statements.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Revision of Previously Issued Financial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connection with the preparation of the Company's condensed consolidated financial statements included in this Quarterly Report on Form 10-Q as of and for the nine months ended September 30, 2024, management identified errors in the previously filed consolidated financial statements as of and for the year ended December 31, 2023 and unaudited quarterly condensed consolidated financial statements as of and for the quarterly and year to date periods ending March 31, 2024 and June 30, 2024. These errors related to the calculation of the fair value of the liability attributable to purchase warrants issued in the Company's underwritten public offering in October 2023 due to the use of an incorrect number of warrants. Additionally, as a result of the error there was a related change in the allocation of capitalized transaction costs between additional paid-in capital and other expense.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The Company assessed the materiality of the error on the prior period's consolidated financial statements in accordance with ASC 250, </w:t>
      </w:r>
      <w:r>
        <w:rPr>
          <w:rFonts w:ascii="Times New Roman" w:hAnsi="Times New Roman"/>
          <w:i/>
          <w:color w:val="000000"/>
          <w:sz w:val="20"/>
        </w:rPr>
        <w:t>Accounting Changes and Error Corrections</w:t>
      </w:r>
      <w:r>
        <w:rPr>
          <w:rFonts w:ascii="Times New Roman" w:hAnsi="Times New Roman"/>
          <w:color w:val="000000"/>
          <w:sz w:val="20"/>
        </w:rPr>
        <w:t xml:space="preserve"> ("ASC 250"). The errors identified are non-cash and do not impact total operating expenses, which the Company believes is a primary financial metric for the users of the financial statements. The errors also do not impact total assets or the Company's liquidity position. Based on this assessment and the consideration of both quantitative and qualitative factors, management determined that the error is not material to any prior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has revised certain prior period amounts to correct the above described errors, as set forth in the tables below, and included such revision herein.</w:t>
      </w:r>
    </w:p>
    <w:tbl>
      <w:tblPr>
        <w:tblW w:w="9624" w:type="dxa"/>
        <w:jc w:val="left"/>
        <w:tblInd w:w="0" w:type="dxa"/>
        <w:tblLayout w:type="fixed"/>
        <w:tblCellMar>
          <w:top w:w="28" w:type="dxa"/>
          <w:left w:w="28" w:type="dxa"/>
          <w:bottom w:w="28" w:type="dxa"/>
          <w:right w:w="28" w:type="dxa"/>
        </w:tblCellMar>
      </w:tblPr>
      <w:tblGrid>
        <w:gridCol w:w="5551"/>
        <w:gridCol w:w="148"/>
        <w:gridCol w:w="857"/>
        <w:gridCol w:w="166"/>
        <w:gridCol w:w="146"/>
        <w:gridCol w:w="177"/>
        <w:gridCol w:w="769"/>
        <w:gridCol w:w="166"/>
        <w:gridCol w:w="146"/>
        <w:gridCol w:w="146"/>
        <w:gridCol w:w="841"/>
        <w:gridCol w:w="511"/>
      </w:tblGrid>
      <w:tr>
        <w:trPr/>
        <w:tc>
          <w:tcPr>
            <w:tcW w:w="55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FFFFFF" w:val="clear"/>
            <w:vAlign w:val="center"/>
          </w:tcPr>
          <w:p>
            <w:pPr>
              <w:pStyle w:val="TableContents"/>
              <w:bidi w:val="0"/>
              <w:spacing w:before="0" w:after="283"/>
              <w:jc w:val="left"/>
              <w:rPr/>
            </w:pPr>
            <w:r>
              <w:rPr/>
              <w:t> </w:t>
            </w:r>
          </w:p>
        </w:tc>
        <w:tc>
          <w:tcPr>
            <w:tcW w:w="35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vAlign w:val="center"/>
          </w:tcPr>
          <w:p>
            <w:pPr>
              <w:pStyle w:val="TableContents"/>
              <w:bidi w:val="0"/>
              <w:spacing w:before="0" w:after="283"/>
              <w:jc w:val="left"/>
              <w:rPr/>
            </w:pPr>
            <w:r>
              <w:rPr/>
              <w:t> </w:t>
            </w:r>
          </w:p>
        </w:tc>
        <w:tc>
          <w:tcPr>
            <w:tcW w:w="35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 thousands):</w:t>
            </w:r>
          </w:p>
        </w:tc>
        <w:tc>
          <w:tcPr>
            <w:tcW w:w="100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Consolidated Balance Sheets</w:t>
            </w:r>
          </w:p>
        </w:tc>
        <w:tc>
          <w:tcPr>
            <w:tcW w:w="100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511" w:type="dxa"/>
            <w:tcBorders/>
            <w:shd w:fill="FFFFFF" w:val="clear"/>
            <w:vAlign w:val="center"/>
          </w:tcPr>
          <w:p>
            <w:pPr>
              <w:pStyle w:val="TableContents"/>
              <w:bidi w:val="0"/>
              <w:spacing w:before="0" w:after="283"/>
              <w:jc w:val="center"/>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0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ind w:left="0" w:right="0" w:firstLine="300"/>
              <w:jc w:val="left"/>
              <w:rPr/>
            </w:pPr>
            <w:r>
              <w:rPr/>
              <w:t> </w:t>
            </w:r>
          </w:p>
        </w:tc>
      </w:tr>
      <w:tr>
        <w:trPr/>
        <w:tc>
          <w:tcPr>
            <w:tcW w:w="555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Purchase warrant liability</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21,047</w:t>
            </w:r>
          </w:p>
        </w:tc>
        <w:tc>
          <w:tcPr>
            <w:tcW w:w="511" w:type="dxa"/>
            <w:tcBorders/>
            <w:shd w:fill="FFFFFF" w:val="cle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current liabilities</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30,288</w:t>
            </w:r>
          </w:p>
        </w:tc>
        <w:tc>
          <w:tcPr>
            <w:tcW w:w="511" w:type="dxa"/>
            <w:tcBorders/>
            <w:shd w:fill="CFF0FC" w:val="cle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0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ind w:left="0" w:right="0" w:firstLine="300"/>
              <w:jc w:val="left"/>
              <w:rPr/>
            </w:pPr>
            <w:r>
              <w:rPr/>
              <w:t> </w:t>
            </w:r>
          </w:p>
        </w:tc>
      </w:tr>
      <w:tr>
        <w:trPr/>
        <w:tc>
          <w:tcPr>
            <w:tcW w:w="555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Additional paid-in capital</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459,458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453,565</w:t>
            </w:r>
          </w:p>
        </w:tc>
        <w:tc>
          <w:tcPr>
            <w:tcW w:w="511" w:type="dxa"/>
            <w:tcBorders/>
            <w:shd w:fill="CFF0FC" w:val="clear"/>
            <w:vAlign w:val="center"/>
          </w:tcPr>
          <w:p>
            <w:pPr>
              <w:pStyle w:val="TableContents"/>
              <w:bidi w:val="0"/>
              <w:spacing w:before="0" w:after="283"/>
              <w:ind w:left="0" w:right="0" w:firstLine="300"/>
              <w:jc w:val="left"/>
              <w:rPr/>
            </w:pPr>
            <w:r>
              <w:rPr/>
              <w:t> </w:t>
            </w:r>
          </w:p>
        </w:tc>
      </w:tr>
      <w:tr>
        <w:trPr/>
        <w:tc>
          <w:tcPr>
            <w:tcW w:w="555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Accumulated deficit</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(414,301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(418,292</w:t>
            </w:r>
          </w:p>
        </w:tc>
        <w:tc>
          <w:tcPr>
            <w:tcW w:w="5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stockholders' equity</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(9,884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32,771</w:t>
            </w:r>
          </w:p>
        </w:tc>
        <w:tc>
          <w:tcPr>
            <w:tcW w:w="511" w:type="dxa"/>
            <w:tcBorders/>
            <w:shd w:fill="CFF0FC" w:val="cle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Consolidated Statements of Stockholders' Equity</w:t>
            </w:r>
          </w:p>
        </w:tc>
        <w:tc>
          <w:tcPr>
            <w:tcW w:w="10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Additional paid-in capital</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(5,893</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453,565</w:t>
            </w:r>
          </w:p>
        </w:tc>
        <w:tc>
          <w:tcPr>
            <w:tcW w:w="511" w:type="dxa"/>
            <w:tcBorders/>
            <w:shd w:fill="FFFFFF" w:val="cle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Accumulated deficit</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(414,301</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(3,991</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(418,292</w:t>
            </w:r>
          </w:p>
        </w:tc>
        <w:tc>
          <w:tcPr>
            <w:tcW w:w="5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stockholders' equity</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(9,884</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32,771</w:t>
            </w:r>
          </w:p>
        </w:tc>
        <w:tc>
          <w:tcPr>
            <w:tcW w:w="511" w:type="dxa"/>
            <w:tcBorders/>
            <w:shd w:fill="FFFFFF" w:val="cle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pPr>
            <w:r>
              <w:rPr/>
              <w:t> </w:t>
            </w:r>
          </w:p>
        </w:tc>
        <w:tc>
          <w:tcPr>
            <w:tcW w:w="3562" w:type="dxa"/>
            <w:gridSpan w:val="10"/>
            <w:tcBorders/>
            <w:shd w:fill="FFFFFF" w:val="cle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Year Ended December 31, 2023</w:t>
            </w:r>
          </w:p>
        </w:tc>
        <w:tc>
          <w:tcPr>
            <w:tcW w:w="511" w:type="dxa"/>
            <w:tcBorders/>
            <w:shd w:fill="FFFFFF" w:val="clear"/>
            <w:vAlign w:val="center"/>
          </w:tcPr>
          <w:p>
            <w:pPr>
              <w:pStyle w:val="TableContents"/>
              <w:bidi w:val="0"/>
              <w:spacing w:before="0" w:after="283"/>
              <w:jc w:val="center"/>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Consolidated Statements of Operations and Comprehensive Loss</w:t>
            </w:r>
          </w:p>
        </w:tc>
        <w:tc>
          <w:tcPr>
            <w:tcW w:w="10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(expense):</w:t>
            </w:r>
          </w:p>
        </w:tc>
        <w:tc>
          <w:tcPr>
            <w:tcW w:w="10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ind w:left="0" w:right="0" w:firstLine="300"/>
              <w:jc w:val="left"/>
              <w:rPr/>
            </w:pPr>
            <w:r>
              <w:rPr/>
              <w:t> </w:t>
            </w:r>
          </w:p>
        </w:tc>
      </w:tr>
      <w:tr>
        <w:trPr/>
        <w:tc>
          <w:tcPr>
            <w:tcW w:w="555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Loss on purchase warrant liability</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(4,058</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(3,594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(7,652</w:t>
            </w:r>
          </w:p>
        </w:tc>
        <w:tc>
          <w:tcPr>
            <w:tcW w:w="511" w:type="dxa"/>
            <w:tcBorders/>
            <w:shd w:fill="CFF0FC" w:val="cle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555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Other expense</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(398</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(915</w:t>
            </w:r>
          </w:p>
        </w:tc>
        <w:tc>
          <w:tcPr>
            <w:tcW w:w="5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(expense), net</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(2,107</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(3,992</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(6,099</w:t>
            </w:r>
          </w:p>
        </w:tc>
        <w:tc>
          <w:tcPr>
            <w:tcW w:w="5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before income taxes</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(57,268</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(3,992</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(61,260</w:t>
            </w:r>
          </w:p>
        </w:tc>
        <w:tc>
          <w:tcPr>
            <w:tcW w:w="5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(57,282</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(3,992</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(61,274</w:t>
            </w:r>
          </w:p>
        </w:tc>
        <w:tc>
          <w:tcPr>
            <w:tcW w:w="5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55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per share - basic and diluted</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(0.61</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(9.42</w:t>
            </w:r>
          </w:p>
        </w:tc>
        <w:tc>
          <w:tcPr>
            <w:tcW w:w="5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551"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left"/>
              <w:rPr/>
            </w:pPr>
            <w:r>
              <w:rPr/>
              <w:t> </w:t>
            </w:r>
          </w:p>
        </w:tc>
      </w:tr>
      <w:tr>
        <w:trPr/>
        <w:tc>
          <w:tcPr>
            <w:tcW w:w="555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Consolidated Statements of Cash Flows</w:t>
            </w:r>
          </w:p>
        </w:tc>
        <w:tc>
          <w:tcPr>
            <w:tcW w:w="10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r>
      <w:tr>
        <w:trPr/>
        <w:tc>
          <w:tcPr>
            <w:tcW w:w="555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(57,282</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(3,992</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(61,274</w:t>
            </w:r>
          </w:p>
        </w:tc>
        <w:tc>
          <w:tcPr>
            <w:tcW w:w="5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55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Change in fair value of warrant liability</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7,652</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55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Transaction costs allocated to warrant liabilities</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906</w:t>
            </w:r>
          </w:p>
        </w:tc>
        <w:tc>
          <w:tcPr>
            <w:tcW w:w="511" w:type="dxa"/>
            <w:tcBorders/>
            <w:shd w:fill="CFF0FC" w:val="cle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3"/>
        <w:gridCol w:w="147"/>
        <w:gridCol w:w="855"/>
        <w:gridCol w:w="166"/>
        <w:gridCol w:w="146"/>
        <w:gridCol w:w="177"/>
        <w:gridCol w:w="769"/>
        <w:gridCol w:w="166"/>
        <w:gridCol w:w="146"/>
        <w:gridCol w:w="146"/>
        <w:gridCol w:w="841"/>
        <w:gridCol w:w="493"/>
      </w:tblGrid>
      <w:tr>
        <w:trPr/>
        <w:tc>
          <w:tcPr>
            <w:tcW w:w="61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153" w:type="dxa"/>
            <w:tcBorders/>
            <w:shd w:fill="FFFFFF" w:val="clear"/>
            <w:vAlign w:val="center"/>
          </w:tcPr>
          <w:p>
            <w:pPr>
              <w:pStyle w:val="TableContents"/>
              <w:bidi w:val="0"/>
              <w:spacing w:before="0" w:after="283"/>
              <w:jc w:val="left"/>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FFFFFF" w:val="clear"/>
            <w:vAlign w:val="center"/>
          </w:tcPr>
          <w:p>
            <w:pPr>
              <w:pStyle w:val="TableContents"/>
              <w:bidi w:val="0"/>
              <w:spacing w:before="0" w:after="283"/>
              <w:jc w:val="left"/>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 thousands):</w:t>
            </w:r>
          </w:p>
        </w:tc>
        <w:tc>
          <w:tcPr>
            <w:tcW w:w="10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Unaudited Consolidated Balance Sheets</w:t>
            </w:r>
          </w:p>
        </w:tc>
        <w:tc>
          <w:tcPr>
            <w:tcW w:w="10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493" w:type="dxa"/>
            <w:tcBorders/>
            <w:shd w:fill="FFFFFF" w:val="clear"/>
            <w:vAlign w:val="center"/>
          </w:tcPr>
          <w:p>
            <w:pPr>
              <w:pStyle w:val="TableContents"/>
              <w:bidi w:val="0"/>
              <w:spacing w:before="0" w:after="283"/>
              <w:jc w:val="center"/>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ind w:left="0" w:right="0" w:firstLine="300"/>
              <w:jc w:val="left"/>
              <w:rPr/>
            </w:pPr>
            <w:r>
              <w:rPr/>
              <w:t> </w:t>
            </w:r>
          </w:p>
        </w:tc>
      </w:tr>
      <w:tr>
        <w:trPr/>
        <w:tc>
          <w:tcPr>
            <w:tcW w:w="6153"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Purchase warrant liability</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8,359</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current liabilities</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14,866</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0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ind w:left="0" w:right="0" w:firstLine="300"/>
              <w:jc w:val="left"/>
              <w:rPr/>
            </w:pPr>
            <w:r>
              <w:rPr/>
              <w:t> </w:t>
            </w:r>
          </w:p>
        </w:tc>
      </w:tr>
      <w:tr>
        <w:trPr/>
        <w:tc>
          <w:tcPr>
            <w:tcW w:w="6153"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Additional paid-in capital</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461,696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455,803</w:t>
            </w:r>
          </w:p>
        </w:tc>
        <w:tc>
          <w:tcPr>
            <w:tcW w:w="493" w:type="dxa"/>
            <w:tcBorders/>
            <w:shd w:fill="CFF0FC" w:val="clear"/>
            <w:vAlign w:val="center"/>
          </w:tcPr>
          <w:p>
            <w:pPr>
              <w:pStyle w:val="TableContents"/>
              <w:bidi w:val="0"/>
              <w:spacing w:before="0" w:after="283"/>
              <w:ind w:left="0" w:right="0" w:firstLine="300"/>
              <w:jc w:val="left"/>
              <w:rPr/>
            </w:pPr>
            <w:r>
              <w:rPr/>
              <w:t> </w:t>
            </w:r>
          </w:p>
        </w:tc>
      </w:tr>
      <w:tr>
        <w:trPr/>
        <w:tc>
          <w:tcPr>
            <w:tcW w:w="6153"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Accumulated deficit</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(445,865</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(443,898</w:t>
            </w:r>
          </w:p>
        </w:tc>
        <w:tc>
          <w:tcPr>
            <w:tcW w:w="4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stockholders' equity</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(3,926</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9,399</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Unaudited Consolidated Statements of Stockholders' Equity</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Additional paid-in capital</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461,696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(5,893</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455,803</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Accumulated deficit</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(445,865</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(443,898</w:t>
            </w:r>
          </w:p>
        </w:tc>
        <w:tc>
          <w:tcPr>
            <w:tcW w:w="4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stockholders' equity</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(3,926</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9,399</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pPr>
            <w:r>
              <w:rPr/>
              <w:t> </w:t>
            </w:r>
          </w:p>
        </w:tc>
        <w:tc>
          <w:tcPr>
            <w:tcW w:w="3559" w:type="dxa"/>
            <w:gridSpan w:val="10"/>
            <w:tcBorders/>
            <w:shd w:fill="FFFFFF" w:val="cle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Three Months Ended March 31, 2024</w:t>
            </w:r>
          </w:p>
        </w:tc>
        <w:tc>
          <w:tcPr>
            <w:tcW w:w="493" w:type="dxa"/>
            <w:tcBorders/>
            <w:shd w:fill="FFFFFF" w:val="clear"/>
            <w:vAlign w:val="center"/>
          </w:tcPr>
          <w:p>
            <w:pPr>
              <w:pStyle w:val="TableContents"/>
              <w:bidi w:val="0"/>
              <w:spacing w:before="0" w:after="283"/>
              <w:jc w:val="center"/>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Unaudited Consolidated Statements of Operations and Comprehensive Loss</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(expense):</w:t>
            </w:r>
          </w:p>
        </w:tc>
        <w:tc>
          <w:tcPr>
            <w:tcW w:w="10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ind w:left="0" w:right="0" w:firstLine="100"/>
              <w:jc w:val="left"/>
              <w:rPr/>
            </w:pPr>
            <w:r>
              <w:rPr/>
              <w:t> </w:t>
            </w:r>
          </w:p>
        </w:tc>
      </w:tr>
      <w:tr>
        <w:trPr/>
        <w:tc>
          <w:tcPr>
            <w:tcW w:w="615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Change in fair value of purchase warrant liability</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12,688</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(expense), net</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13,239</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(31,564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(25,606</w:t>
            </w:r>
          </w:p>
        </w:tc>
        <w:tc>
          <w:tcPr>
            <w:tcW w:w="4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 per share - basic and diluted</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(2.60</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w:t>
            </w:r>
          </w:p>
        </w:tc>
        <w:tc>
          <w:tcPr>
            <w:tcW w:w="4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Unaudited Consolidated Statements of Cash Flows</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(31,564</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(25,606</w:t>
            </w:r>
          </w:p>
        </w:tc>
        <w:tc>
          <w:tcPr>
            <w:tcW w:w="493" w:type="dxa"/>
            <w:tcBorders/>
            <w:shd w:fill="FFFFFF" w:val="cle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Change in fair of value warrant liability</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(6,730</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(5,958</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(12,688</w:t>
            </w:r>
          </w:p>
        </w:tc>
        <w:tc>
          <w:tcPr>
            <w:tcW w:w="4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3"/>
        <w:gridCol w:w="147"/>
        <w:gridCol w:w="855"/>
        <w:gridCol w:w="166"/>
        <w:gridCol w:w="146"/>
        <w:gridCol w:w="177"/>
        <w:gridCol w:w="769"/>
        <w:gridCol w:w="166"/>
        <w:gridCol w:w="146"/>
        <w:gridCol w:w="146"/>
        <w:gridCol w:w="841"/>
        <w:gridCol w:w="493"/>
      </w:tblGrid>
      <w:tr>
        <w:trPr/>
        <w:tc>
          <w:tcPr>
            <w:tcW w:w="61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153" w:type="dxa"/>
            <w:tcBorders/>
            <w:shd w:fill="FFFFFF" w:val="clear"/>
            <w:vAlign w:val="center"/>
          </w:tcPr>
          <w:p>
            <w:pPr>
              <w:pStyle w:val="TableContents"/>
              <w:bidi w:val="0"/>
              <w:spacing w:before="0" w:after="283"/>
              <w:jc w:val="left"/>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FFFFFF" w:val="clear"/>
            <w:vAlign w:val="center"/>
          </w:tcPr>
          <w:p>
            <w:pPr>
              <w:pStyle w:val="TableContents"/>
              <w:bidi w:val="0"/>
              <w:spacing w:before="0" w:after="283"/>
              <w:jc w:val="left"/>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 thousands):</w:t>
            </w:r>
          </w:p>
        </w:tc>
        <w:tc>
          <w:tcPr>
            <w:tcW w:w="10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Unaudited Consolidated Balance Sheets</w:t>
            </w:r>
          </w:p>
        </w:tc>
        <w:tc>
          <w:tcPr>
            <w:tcW w:w="10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493" w:type="dxa"/>
            <w:tcBorders/>
            <w:shd w:fill="FFFFFF" w:val="clear"/>
            <w:vAlign w:val="center"/>
          </w:tcPr>
          <w:p>
            <w:pPr>
              <w:pStyle w:val="TableContents"/>
              <w:bidi w:val="0"/>
              <w:spacing w:before="0" w:after="283"/>
              <w:jc w:val="center"/>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ind w:left="0" w:right="0" w:firstLine="300"/>
              <w:jc w:val="left"/>
              <w:rPr/>
            </w:pPr>
            <w:r>
              <w:rPr/>
              <w:t> </w:t>
            </w:r>
          </w:p>
        </w:tc>
      </w:tr>
      <w:tr>
        <w:trPr/>
        <w:tc>
          <w:tcPr>
            <w:tcW w:w="6153"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Purchase warrant liability</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6,088</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current liabilities</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8,511</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0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ind w:left="0" w:right="0" w:firstLine="300"/>
              <w:jc w:val="left"/>
              <w:rPr/>
            </w:pPr>
            <w:r>
              <w:rPr/>
              <w:t> </w:t>
            </w:r>
          </w:p>
        </w:tc>
      </w:tr>
      <w:tr>
        <w:trPr/>
        <w:tc>
          <w:tcPr>
            <w:tcW w:w="6153"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Additional paid-in capital</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(5,892</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456,450</w:t>
            </w:r>
          </w:p>
        </w:tc>
        <w:tc>
          <w:tcPr>
            <w:tcW w:w="493" w:type="dxa"/>
            <w:tcBorders/>
            <w:shd w:fill="CFF0FC" w:val="clear"/>
            <w:vAlign w:val="center"/>
          </w:tcPr>
          <w:p>
            <w:pPr>
              <w:pStyle w:val="TableContents"/>
              <w:bidi w:val="0"/>
              <w:spacing w:before="0" w:after="283"/>
              <w:ind w:left="0" w:right="0" w:firstLine="300"/>
              <w:jc w:val="left"/>
              <w:rPr/>
            </w:pPr>
            <w:r>
              <w:rPr/>
              <w:t> </w:t>
            </w:r>
          </w:p>
        </w:tc>
      </w:tr>
      <w:tr>
        <w:trPr/>
        <w:tc>
          <w:tcPr>
            <w:tcW w:w="6153"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Accumulated deficit</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(443,853</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(440,820</w:t>
            </w:r>
          </w:p>
        </w:tc>
        <w:tc>
          <w:tcPr>
            <w:tcW w:w="4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stockholders' equity</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(2,859</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13,124</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pPr>
            <w:r>
              <w:rPr/>
              <w:t> </w:t>
            </w:r>
          </w:p>
        </w:tc>
        <w:tc>
          <w:tcPr>
            <w:tcW w:w="3559" w:type="dxa"/>
            <w:gridSpan w:val="10"/>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FFFFFF" w:val="clear"/>
            <w:vAlign w:val="center"/>
          </w:tcPr>
          <w:p>
            <w:pPr>
              <w:pStyle w:val="TableContents"/>
              <w:bidi w:val="0"/>
              <w:spacing w:before="0" w:after="283"/>
              <w:jc w:val="left"/>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Unaudited Consolidated Statements of Operations and Comprehensive Loss</w:t>
            </w:r>
          </w:p>
        </w:tc>
        <w:tc>
          <w:tcPr>
            <w:tcW w:w="3559" w:type="dxa"/>
            <w:gridSpan w:val="10"/>
            <w:tcBorders/>
            <w:shd w:fill="CFF0FC" w:val="clear"/>
            <w:vAlign w:val="center"/>
          </w:tcPr>
          <w:p>
            <w:pPr>
              <w:pStyle w:val="TableContents"/>
              <w:bidi w:val="0"/>
              <w:spacing w:before="0" w:after="283"/>
              <w:jc w:val="center"/>
              <w:rPr/>
            </w:pPr>
            <w:r>
              <w:rPr/>
              <w:t> </w:t>
            </w:r>
          </w:p>
        </w:tc>
        <w:tc>
          <w:tcPr>
            <w:tcW w:w="493" w:type="dxa"/>
            <w:tcBorders/>
            <w:shd w:fill="CFF0FC" w:val="clear"/>
            <w:vAlign w:val="center"/>
          </w:tcPr>
          <w:p>
            <w:pPr>
              <w:pStyle w:val="TableContents"/>
              <w:bidi w:val="0"/>
              <w:spacing w:before="0" w:after="283"/>
              <w:jc w:val="center"/>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(expense):</w:t>
            </w:r>
          </w:p>
        </w:tc>
        <w:tc>
          <w:tcPr>
            <w:tcW w:w="10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ind w:left="0" w:right="0" w:firstLine="100"/>
              <w:jc w:val="left"/>
              <w:rPr/>
            </w:pPr>
            <w:r>
              <w:rPr/>
              <w:t> </w:t>
            </w:r>
          </w:p>
        </w:tc>
      </w:tr>
      <w:tr>
        <w:trPr/>
        <w:tc>
          <w:tcPr>
            <w:tcW w:w="615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Change in fair value of purchase warrant liability</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2,270</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other income, net</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2,664</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(loss) before income taxes</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3,083</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3,078</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 per share - basic and diluted</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0.25</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Unaudited Consolidated Statements of Stockholders' Equity</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Additional paid-in capital</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462,342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(5,892</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456,450</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Accumulated deficit</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(443,853</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(440,820</w:t>
            </w:r>
          </w:p>
        </w:tc>
        <w:tc>
          <w:tcPr>
            <w:tcW w:w="4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stockholders' equity</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(2,859</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13,124</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CFF0FC" w:val="clear"/>
            <w:vAlign w:val="center"/>
          </w:tcPr>
          <w:p>
            <w:pPr>
              <w:pStyle w:val="TableContents"/>
              <w:bidi w:val="0"/>
              <w:spacing w:before="0" w:after="283"/>
              <w:jc w:val="left"/>
              <w:rPr/>
            </w:pPr>
            <w:r>
              <w:rPr/>
              <w:t> </w:t>
            </w:r>
          </w:p>
        </w:tc>
        <w:tc>
          <w:tcPr>
            <w:tcW w:w="3559" w:type="dxa"/>
            <w:gridSpan w:val="10"/>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Unaudited Consolidated Statements of Operations and Comprehensive Loss</w:t>
            </w:r>
          </w:p>
        </w:tc>
        <w:tc>
          <w:tcPr>
            <w:tcW w:w="3559" w:type="dxa"/>
            <w:gridSpan w:val="10"/>
            <w:tcBorders/>
            <w:shd w:fill="FFFFFF" w:val="clear"/>
            <w:vAlign w:val="center"/>
          </w:tcPr>
          <w:p>
            <w:pPr>
              <w:pStyle w:val="TableContents"/>
              <w:bidi w:val="0"/>
              <w:spacing w:before="0" w:after="283"/>
              <w:jc w:val="center"/>
              <w:rPr/>
            </w:pPr>
            <w:r>
              <w:rPr/>
              <w:t> </w:t>
            </w:r>
          </w:p>
        </w:tc>
        <w:tc>
          <w:tcPr>
            <w:tcW w:w="493" w:type="dxa"/>
            <w:tcBorders/>
            <w:shd w:fill="FFFFFF" w:val="clear"/>
            <w:vAlign w:val="center"/>
          </w:tcPr>
          <w:p>
            <w:pPr>
              <w:pStyle w:val="TableContents"/>
              <w:bidi w:val="0"/>
              <w:spacing w:before="0" w:after="283"/>
              <w:jc w:val="center"/>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(expense):</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ind w:left="0" w:right="0" w:firstLine="100"/>
              <w:jc w:val="left"/>
              <w:rPr/>
            </w:pPr>
            <w:r>
              <w:rPr/>
              <w:t> </w:t>
            </w:r>
          </w:p>
        </w:tc>
      </w:tr>
      <w:tr>
        <w:trPr/>
        <w:tc>
          <w:tcPr>
            <w:tcW w:w="615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Change in fair value of purchase warrant liability</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14,958</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other income, net</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15,903</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(loss) before income taxes</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(29,547</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(22,522</w:t>
            </w:r>
          </w:p>
        </w:tc>
        <w:tc>
          <w:tcPr>
            <w:tcW w:w="4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(29,552</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(22,528</w:t>
            </w:r>
          </w:p>
        </w:tc>
        <w:tc>
          <w:tcPr>
            <w:tcW w:w="4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 (loss) per share - basic and diluted</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(2.43</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w:t>
            </w:r>
          </w:p>
        </w:tc>
        <w:tc>
          <w:tcPr>
            <w:tcW w:w="4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Unaudited Consolidated Statements of Stockholders' Equity</w:t>
            </w:r>
          </w:p>
        </w:tc>
        <w:tc>
          <w:tcPr>
            <w:tcW w:w="10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Additional paid-in capital</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(5,892</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456,450</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Accumulated deficit</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(443,853</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(440,820</w:t>
            </w:r>
          </w:p>
        </w:tc>
        <w:tc>
          <w:tcPr>
            <w:tcW w:w="4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stockholders' equity</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(2,859</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13,124</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r>
      <w:tr>
        <w:trPr/>
        <w:tc>
          <w:tcPr>
            <w:tcW w:w="6153"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Unaudited Consolidated Statements of Cash Flows</w:t>
            </w:r>
          </w:p>
        </w:tc>
        <w:tc>
          <w:tcPr>
            <w:tcW w:w="10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r>
      <w:tr>
        <w:trPr/>
        <w:tc>
          <w:tcPr>
            <w:tcW w:w="615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7"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(29,552</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(22,528</w:t>
            </w:r>
          </w:p>
        </w:tc>
        <w:tc>
          <w:tcPr>
            <w:tcW w:w="493" w:type="dxa"/>
            <w:tcBorders/>
            <w:shd w:fill="FFFFFF" w:val="cle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615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Change in fair value of warrant liability</w:t>
            </w:r>
          </w:p>
        </w:tc>
        <w:tc>
          <w:tcPr>
            <w:tcW w:w="147" w:type="dxa"/>
            <w:tcBorders/>
            <w:shd w:fill="CFF0FC" w:val="clear"/>
            <w:vAlign w:val="center"/>
          </w:tcPr>
          <w:p>
            <w:pPr>
              <w:pStyle w:val="TableContents"/>
              <w:bidi w:val="0"/>
              <w:spacing w:before="0" w:after="283"/>
              <w:jc w:val="left"/>
              <w:rPr/>
            </w:pPr>
            <w:r>
              <w:rPr/>
              <w:t> </w:t>
            </w:r>
          </w:p>
        </w:tc>
        <w:tc>
          <w:tcPr>
            <w:tcW w:w="85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(7,934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(7,024</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(14,958</w:t>
            </w:r>
          </w:p>
        </w:tc>
        <w:tc>
          <w:tcPr>
            <w:tcW w:w="493"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also revised any related disclosures in this Quarterly Report on Form 10-Q related to the errors.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The tables below present information about the Company’s assets and liabilities that are measured at fair value on a recurring basis and indicate the fair value hierarchy of the valuation techniques the Company utilized to determine such fair value, as described under Note 2</w:t>
      </w:r>
      <w:r>
        <w:rPr>
          <w:rFonts w:ascii="Times New Roman" w:hAnsi="Times New Roman"/>
          <w:i/>
          <w:color w:val="000000"/>
          <w:sz w:val="20"/>
        </w:rPr>
        <w:t>, Summary of Significant Accounting Policies,</w:t>
      </w:r>
      <w:r>
        <w:rPr>
          <w:rFonts w:ascii="Times New Roman" w:hAnsi="Times New Roman"/>
          <w:color w:val="000000"/>
          <w:sz w:val="20"/>
        </w:rPr>
        <w:t xml:space="preserve"> in the audited financial statements included in the 2023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issued warrants either as derivative liabilities or as equity instruments depending on the specific terms of the agreement. Warrants that are equity-classified instruments and recorded in additional paid-in capital at issuance are not subject to remeasurement. The purchase warrants issued in October 2023 are liability classified and recorded at fair value using the Black-Scholes option-pricing model at issuance, with any subsequent changes in fair value recognized in the consolidated statements of operations. We periodically evaluate changes in facts and circumstances that could impact the classification of warrants. None of the purchase warrants have been exercised since their issuance.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September 30, 2024 and December 31, 2023, the Company has classified assets and liabilities measured at fair value on a recurring basis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92"/>
        <w:gridCol w:w="146"/>
        <w:gridCol w:w="252"/>
        <w:gridCol w:w="809"/>
        <w:gridCol w:w="146"/>
        <w:gridCol w:w="146"/>
        <w:gridCol w:w="363"/>
        <w:gridCol w:w="1165"/>
        <w:gridCol w:w="146"/>
        <w:gridCol w:w="146"/>
        <w:gridCol w:w="301"/>
        <w:gridCol w:w="970"/>
        <w:gridCol w:w="146"/>
        <w:gridCol w:w="146"/>
        <w:gridCol w:w="340"/>
        <w:gridCol w:w="1096"/>
        <w:gridCol w:w="195"/>
      </w:tblGrid>
      <w:tr>
        <w:trPr/>
        <w:tc>
          <w:tcPr>
            <w:tcW w:w="3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6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w:t>
              <w:br/>
              <w:t>Markets for Identical</w:t>
              <w:br/>
              <w:t>Assets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 Inputs</w:t>
            </w:r>
          </w:p>
        </w:tc>
        <w:tc>
          <w:tcPr>
            <w:tcW w:w="195" w:type="dxa"/>
            <w:tcBorders/>
            <w:shd w:fill="FFFFFF" w:val="clear"/>
            <w:vAlign w:val="center"/>
          </w:tcPr>
          <w:p>
            <w:pPr>
              <w:pStyle w:val="TableContents"/>
              <w:bidi w:val="0"/>
              <w:spacing w:before="0" w:after="283"/>
              <w:jc w:val="center"/>
              <w:rPr/>
            </w:pPr>
            <w:r>
              <w:rPr/>
              <w:t> </w:t>
            </w:r>
          </w:p>
        </w:tc>
      </w:tr>
      <w:tr>
        <w:trPr/>
        <w:tc>
          <w:tcPr>
            <w:tcW w:w="3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6"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3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106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2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436"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36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FFFFFF" w:val="cle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436"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36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w:t>
              <w:br/>
              <w:t>Markets for Identical</w:t>
              <w:br/>
              <w:t>Assets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 Inputs</w:t>
            </w:r>
          </w:p>
        </w:tc>
        <w:tc>
          <w:tcPr>
            <w:tcW w:w="195" w:type="dxa"/>
            <w:tcBorders/>
            <w:shd w:fill="FFFFFF" w:val="clear"/>
            <w:vAlign w:val="center"/>
          </w:tcPr>
          <w:p>
            <w:pPr>
              <w:pStyle w:val="TableContents"/>
              <w:bidi w:val="0"/>
              <w:spacing w:before="0" w:after="283"/>
              <w:jc w:val="center"/>
              <w:rPr/>
            </w:pPr>
            <w:r>
              <w:rPr/>
              <w:t> </w:t>
            </w:r>
          </w:p>
        </w:tc>
      </w:tr>
      <w:tr>
        <w:trPr/>
        <w:tc>
          <w:tcPr>
            <w:tcW w:w="3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2"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436"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3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 (included in cash and cash equivalents)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0"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r>
      <w:tr>
        <w:trPr/>
        <w:tc>
          <w:tcPr>
            <w:tcW w:w="3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11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0"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 and treasuries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436"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36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 liability</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equivalents, prepaid expenses and other current assets, accounts payable and accrued expenses at September 30, 2024 and December 31, 2023 are carried at amounts that approximate fair value due to their short-term maturities. Finance lease obligations at December 31, 2023 approximate fair value as they bear interest at a rate approximating a market interest rate.</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summarize the estimated fair value of the assets presented within cash and cash equivalents measured at fair value and the gross unrealized holding gains and losses (in thousands):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956"/>
        <w:gridCol w:w="146"/>
        <w:gridCol w:w="272"/>
        <w:gridCol w:w="873"/>
        <w:gridCol w:w="146"/>
        <w:gridCol w:w="146"/>
        <w:gridCol w:w="565"/>
        <w:gridCol w:w="930"/>
        <w:gridCol w:w="146"/>
        <w:gridCol w:w="146"/>
        <w:gridCol w:w="570"/>
        <w:gridCol w:w="936"/>
        <w:gridCol w:w="146"/>
        <w:gridCol w:w="146"/>
        <w:gridCol w:w="211"/>
        <w:gridCol w:w="676"/>
        <w:gridCol w:w="194"/>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3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15,476</w:t>
            </w:r>
          </w:p>
        </w:tc>
        <w:tc>
          <w:tcPr>
            <w:tcW w:w="194" w:type="dxa"/>
            <w:tcBorders/>
            <w:shd w:fill="CFF0FC" w:val="clear"/>
            <w:vAlign w:val="center"/>
          </w:tcPr>
          <w:p>
            <w:pPr>
              <w:pStyle w:val="TableContents"/>
              <w:bidi w:val="0"/>
              <w:spacing w:before="0" w:after="283"/>
              <w:jc w:val="left"/>
              <w:rPr/>
            </w:pPr>
            <w:r>
              <w:rPr/>
              <w:t> </w:t>
            </w:r>
          </w:p>
        </w:tc>
      </w:tr>
      <w:tr>
        <w:trPr/>
        <w:tc>
          <w:tcPr>
            <w:tcW w:w="3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 (included in cash and cash equivalents)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Assumptions Used in Determining Fair Value of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assumptions used in the Black-Scholes option-pricing model for the purchase warrants on the consolidated balance sheets at September 30, 2024 and December 31, 2023 are included below:</w:t>
      </w:r>
    </w:p>
    <w:p>
      <w:pPr>
        <w:pStyle w:val="TextBody"/>
        <w:bidi w:val="0"/>
        <w:jc w:val="left"/>
        <w:rPr/>
      </w:pPr>
      <w:r>
        <w:rPr/>
        <w:t> </w:t>
      </w:r>
    </w:p>
    <w:tbl>
      <w:tblPr>
        <w:tblW w:w="7255" w:type="dxa"/>
        <w:jc w:val="left"/>
        <w:tblInd w:w="0" w:type="dxa"/>
        <w:tblLayout w:type="fixed"/>
        <w:tblCellMar>
          <w:top w:w="28" w:type="dxa"/>
          <w:left w:w="28" w:type="dxa"/>
          <w:bottom w:w="28" w:type="dxa"/>
          <w:right w:w="28" w:type="dxa"/>
        </w:tblCellMar>
      </w:tblPr>
      <w:tblGrid>
        <w:gridCol w:w="3331"/>
        <w:gridCol w:w="146"/>
        <w:gridCol w:w="481"/>
        <w:gridCol w:w="1064"/>
        <w:gridCol w:w="271"/>
        <w:gridCol w:w="146"/>
        <w:gridCol w:w="467"/>
        <w:gridCol w:w="1033"/>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 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 years</w:t>
            </w:r>
          </w:p>
        </w:tc>
        <w:tc>
          <w:tcPr>
            <w:tcW w:w="316" w:type="dxa"/>
            <w:tcBorders/>
            <w:shd w:fill="CFF0FC" w:val="clear"/>
            <w:vAlign w:val="center"/>
          </w:tcPr>
          <w:p>
            <w:pPr>
              <w:pStyle w:val="TableContents"/>
              <w:bidi w:val="0"/>
              <w:spacing w:before="0" w:after="283"/>
              <w:jc w:val="righ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risk free interest rate</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left"/>
              <w:rPr/>
            </w:pPr>
            <w:r>
              <w:rPr/>
              <w:t> </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left"/>
              <w:rPr/>
            </w:pPr>
            <w:r>
              <w:rPr/>
              <w:t> </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Strike price</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16"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Available-for-Sale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available-for-sale securities held at September 30, 2024 and December 31, 2023 (in thousands):</w:t>
      </w:r>
    </w:p>
    <w:p>
      <w:pPr>
        <w:pStyle w:val="TextBody"/>
        <w:bidi w:val="0"/>
        <w:jc w:val="left"/>
        <w:rPr/>
      </w:pPr>
      <w:r>
        <w:rPr/>
        <w:t> </w:t>
      </w:r>
    </w:p>
    <w:tbl>
      <w:tblPr>
        <w:tblW w:w="7566" w:type="dxa"/>
        <w:jc w:val="left"/>
        <w:tblInd w:w="0" w:type="dxa"/>
        <w:tblLayout w:type="fixed"/>
        <w:tblCellMar>
          <w:top w:w="28" w:type="dxa"/>
          <w:left w:w="28" w:type="dxa"/>
          <w:bottom w:w="28" w:type="dxa"/>
          <w:right w:w="28" w:type="dxa"/>
        </w:tblCellMar>
      </w:tblPr>
      <w:tblGrid>
        <w:gridCol w:w="1606"/>
        <w:gridCol w:w="146"/>
        <w:gridCol w:w="285"/>
        <w:gridCol w:w="915"/>
        <w:gridCol w:w="146"/>
        <w:gridCol w:w="146"/>
        <w:gridCol w:w="660"/>
        <w:gridCol w:w="660"/>
        <w:gridCol w:w="146"/>
        <w:gridCol w:w="146"/>
        <w:gridCol w:w="500"/>
        <w:gridCol w:w="820"/>
        <w:gridCol w:w="166"/>
        <w:gridCol w:w="146"/>
        <w:gridCol w:w="211"/>
        <w:gridCol w:w="676"/>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191" w:type="dxa"/>
            <w:tcBorders/>
            <w:shd w:fill="CFF0FC" w:val="clear"/>
            <w:vAlign w:val="center"/>
          </w:tcPr>
          <w:p>
            <w:pPr>
              <w:pStyle w:val="TableContents"/>
              <w:bidi w:val="0"/>
              <w:spacing w:before="0" w:after="283"/>
              <w:jc w:val="left"/>
              <w:rPr/>
            </w:pPr>
            <w:r>
              <w:rPr/>
              <w:t> </w:t>
            </w:r>
          </w:p>
        </w:tc>
      </w:tr>
      <w:tr>
        <w:trPr/>
        <w:tc>
          <w:tcPr>
            <w:tcW w:w="1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were no available-for-sale securities held at September 30, 2024. There were two investments in an unrealized loss position at December 31, 2023, none of which had been in an unrealized loss position for more than twelve months. The aggregate fair value of the securities in an unrealized loss position at December 31, 2023 was $5.4 million.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realized gains and losses on the sales of investments have not been material to the Company’s consolidated statement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Assets Held for Sale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committed to a plan to sell its remaining lab equipment and therefore has classified the amount as assets held for sale on the consolidated balance sheet as of September 30, 2024. The assets held for sale were reported at the lower of the carrying amount or fair value, less costs to sell. Accordingly, during the nine months ended September 30, 2024, there were impairment charges of $0.8 million incurred related to the lab equipment classified as assets held for sale, which was included in restructuring and other charges. During the second quarter of 2024, the Company engaged a third party to assist with an ongoing auction of its assets held for sale. Accordingly, during the nine months ended September 30, 2024, the Company recorded a gain on disposal of $1.1 million related to auction sales.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95" w:type="dxa"/>
        <w:jc w:val="left"/>
        <w:tblInd w:w="0" w:type="dxa"/>
        <w:tblLayout w:type="fixed"/>
        <w:tblCellMar>
          <w:top w:w="28" w:type="dxa"/>
          <w:left w:w="28" w:type="dxa"/>
          <w:bottom w:w="28" w:type="dxa"/>
          <w:right w:w="28" w:type="dxa"/>
        </w:tblCellMar>
      </w:tblPr>
      <w:tblGrid>
        <w:gridCol w:w="3931"/>
        <w:gridCol w:w="146"/>
        <w:gridCol w:w="307"/>
        <w:gridCol w:w="833"/>
        <w:gridCol w:w="146"/>
        <w:gridCol w:w="146"/>
        <w:gridCol w:w="294"/>
        <w:gridCol w:w="80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 of the following (in thousands):</w:t>
      </w:r>
    </w:p>
    <w:p>
      <w:pPr>
        <w:pStyle w:val="TextBody"/>
        <w:bidi w:val="0"/>
        <w:jc w:val="left"/>
        <w:rPr/>
      </w:pPr>
      <w:r>
        <w:rPr/>
        <w:t> </w:t>
      </w:r>
    </w:p>
    <w:tbl>
      <w:tblPr>
        <w:tblW w:w="5175" w:type="dxa"/>
        <w:jc w:val="left"/>
        <w:tblInd w:w="0" w:type="dxa"/>
        <w:tblLayout w:type="fixed"/>
        <w:tblCellMar>
          <w:top w:w="28" w:type="dxa"/>
          <w:left w:w="28" w:type="dxa"/>
          <w:bottom w:w="28" w:type="dxa"/>
          <w:right w:w="28" w:type="dxa"/>
        </w:tblCellMar>
      </w:tblPr>
      <w:tblGrid>
        <w:gridCol w:w="2311"/>
        <w:gridCol w:w="146"/>
        <w:gridCol w:w="307"/>
        <w:gridCol w:w="833"/>
        <w:gridCol w:w="146"/>
        <w:gridCol w:w="146"/>
        <w:gridCol w:w="294"/>
        <w:gridCol w:w="80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related</w:t>
            </w:r>
          </w:p>
        </w:tc>
        <w:tc>
          <w:tcPr>
            <w:tcW w:w="146" w:type="dxa"/>
            <w:tcBorders/>
            <w:shd w:fill="CFF0FC" w:val="clear"/>
            <w:vAlign w:val="center"/>
          </w:tcPr>
          <w:p>
            <w:pPr>
              <w:pStyle w:val="TableContents"/>
              <w:bidi w:val="0"/>
              <w:spacing w:before="0" w:after="283"/>
              <w:jc w:val="center"/>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vAlign w:val="center"/>
          </w:tcPr>
          <w:p>
            <w:pPr>
              <w:pStyle w:val="TableContents"/>
              <w:bidi w:val="0"/>
              <w:spacing w:before="0" w:after="283"/>
              <w:jc w:val="center"/>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center"/>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FFFFFF" w:val="clear"/>
            <w:vAlign w:val="center"/>
          </w:tcPr>
          <w:p>
            <w:pPr>
              <w:pStyle w:val="TableContents"/>
              <w:bidi w:val="0"/>
              <w:spacing w:before="0" w:after="283"/>
              <w:jc w:val="center"/>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vAlign w:val="center"/>
          </w:tcPr>
          <w:p>
            <w:pPr>
              <w:pStyle w:val="TableContents"/>
              <w:bidi w:val="0"/>
              <w:spacing w:before="0" w:after="283"/>
              <w:jc w:val="center"/>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and its board of directors decided to discontinue the Synpheny-3 trial and as a result are currently evaluating strategic options for the Company with a goal to enhance stockholder value, including the possibility of a merger or sale of the Company. Due to this decision there has been an interim evaluation of impairment of long-lived and other assets which is described in detail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announced a corporate restructuring that included a reduction in its workforce by more than 90%. In connection with the corporate restructuring, the Company recorded restructuring charges for severance and related costs of $0.2 million and $6.1 million during the three and nine months ended September 30, 2024, respectively. The Company also executed consulting agreements with a select number of former employees in which their equity continues to vest under the terms of the original award. The consulting services were determined to be non-substantive and as a result, the Company has accelerated the related stock compensation expense and recorded an additional $2.1 million to stock compensation included in restructuring charges for the nine months ended September 30, 2024. There was no acceleration of stock compensation expense for the three months ended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2024, restructuring and other charges also include impairment of the right-of-use assets associated with the Company's existing leased spaces of $9.6 million. Impairment losses of $5.0 million, related to property and equipment primarily related to leasehold improvements in connection with the lease impairment were recorded for the nine months ended September 30, 2024. These charges have been offset by gains on equipment sales of $1.1 million for the nine months ended September 30, 2024. There were no impairment charges related to the lease or property and equipment during the three months ended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corporate restructuring, on June 26, 2024 (the “Termination Date”), the Company entered into a Lease Termination Agreement (the “Termination Agreement”) for its corporate headquarters in Cambridge, Massachusetts, with the landlord which, effective immediately, terminated the lease. In exchange for the early termination of the lease pursuant to the Termination Agreement, the Company made a total termination payment of $10.6 million, of which $1.0 million was from a letter of credit associated with the lease and classified in the consolidated balance sheets as noncurrent restricted cash at December 31, 2023. The Company also recorded a gain on lease termination, associated with its former headquarters, of $3.2 million, for the nine months ended September 30, 2024. There were no impairment charges related to the lease during the three months ended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charges relating to the restructuring include a $5.2 million charge to impairment for prepaid research and development in relation to the Ginkgo collaboration (see Note 12) for the nine months ended September 30, 2024. There was no impairment for prepaid research and development during the three months ended September 30, 2024. Additionally, there were charges of $0.1 million and $1.1 million recorded during the three and nine months ended September 30, 2024, respectively related to the restructuring including legal fees, banking fees and lab decommissioning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2024, approximately $1.6 million of the total restructuring charges remain unpaid and were included in accrued restructuring charges. These charges primarily consist of personnel costs related to severance expense and retention bonuses, in addition to professional services costs.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Rights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20, 2024, the Board of Directors of the Company declared a dividend of one preferred share purchase right (a “Right”), payable on March 1, 2024, for each share of common stock of the Company outstanding on March 1, 2024 to the stockholders of record on that date and for certain warrants to purchase Common Stock outstanding on March 1, 2024. In connection with the distribution of the Rights, the Company entered into a Rights Agreement, dated as of February 20, 2024, between the Company and Equiniti Trust Company LLC, as rights agent (the "Rights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Right entitles the registered holder to purchase from the Company one one-thousandth of a share of Series A Junior Participating Preferred Stock, par value $0.001 per share, of the Company (the “Series A Preferred Stock”) at a price of $12.00 per one one-thousandth of a share of Series A Preferred Stock represented by a Right (the “Purchase Price”), subject to adjustment.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were determined to have no value upon issuance and no rights were exercisable as of September 30,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27, 2023, the Company effected a reverse stock split of its common stock, pursuant to which every fifteen (15) shares of the issued and outstanding common stock was automatically converted into one (1) issued and outstanding share of common stock without any change in the par value of $0.001 per share. The reverse stock split was approved by the stockholders on September 21, 2023 at a special meeting of stockholders.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October 2023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 2023, the Company issued and sold, through an underwritten public offering: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3,921,928</w:t>
      </w:r>
      <w:r>
        <w:rPr>
          <w:color w:val="000000"/>
        </w:rPr>
        <w:t xml:space="preserve"> </w:t>
      </w:r>
      <w:r>
        <w:rPr>
          <w:rFonts w:ascii="Times New Roman" w:hAnsi="Times New Roman"/>
          <w:color w:val="000000"/>
          <w:sz w:val="20"/>
        </w:rPr>
        <w:t>shares of its common stock at a price of $2.84</w:t>
      </w:r>
      <w:r>
        <w:rPr>
          <w:color w:val="000000"/>
        </w:rPr>
        <w:t xml:space="preserve"> </w:t>
      </w:r>
      <w:r>
        <w:rPr>
          <w:rFonts w:ascii="Times New Roman" w:hAnsi="Times New Roman"/>
          <w:color w:val="000000"/>
          <w:sz w:val="20"/>
        </w:rPr>
        <w:t xml:space="preserve">per share less underwriting discounts and commissions;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pre-funded warrants to purchase up to 3,472,435</w:t>
      </w:r>
      <w:r>
        <w:rPr>
          <w:color w:val="000000"/>
        </w:rPr>
        <w:t xml:space="preserve"> </w:t>
      </w:r>
      <w:r>
        <w:rPr>
          <w:rFonts w:ascii="Times New Roman" w:hAnsi="Times New Roman"/>
          <w:color w:val="000000"/>
          <w:sz w:val="20"/>
        </w:rPr>
        <w:t>shares of its common stock at a price of $2.839</w:t>
      </w:r>
      <w:r>
        <w:rPr>
          <w:color w:val="000000"/>
        </w:rPr>
        <w:t xml:space="preserve"> </w:t>
      </w:r>
      <w:r>
        <w:rPr>
          <w:rFonts w:ascii="Times New Roman" w:hAnsi="Times New Roman"/>
          <w:color w:val="000000"/>
          <w:sz w:val="20"/>
        </w:rPr>
        <w:t xml:space="preserve">immediately following the consummation of the offering,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accompanying common stock warrants to purchase up to 7,394,363</w:t>
      </w:r>
      <w:r>
        <w:rPr>
          <w:color w:val="000000"/>
        </w:rPr>
        <w:t xml:space="preserve"> </w:t>
      </w:r>
      <w:r>
        <w:rPr>
          <w:rFonts w:ascii="Times New Roman" w:hAnsi="Times New Roman"/>
          <w:color w:val="000000"/>
          <w:sz w:val="20"/>
        </w:rPr>
        <w:t>shares of its common stock at a price of $3.408</w:t>
      </w:r>
      <w:r>
        <w:rPr>
          <w:color w:val="000000"/>
        </w:rPr>
        <w:t xml:space="preserve"> </w:t>
      </w:r>
      <w:r>
        <w:rPr>
          <w:rFonts w:ascii="Times New Roman" w:hAnsi="Times New Roman"/>
          <w:color w:val="000000"/>
          <w:sz w:val="20"/>
        </w:rPr>
        <w:t>per share exercisable immediately after issuance and expires five years from the date of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share of its common stock and each pre-funded warrant was sold together with a common warrant to purchase one share of its common stock. A holder of pre-funded warrants may not exercise the warrant if the holder, together with its affiliates, would beneficially own more than 4.99% (or, upon election by a holder prior to the issuance of any warrants, 9.99%) of the number of shares of common stock outstanding immediately after giving effect to such exercise. The net proceeds to the Company from the sale of common stock and pre-funded warrants through the offering, after deducting the underwriting discounts and commissions and offering expenses payable by the Company, were approximately $19.6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common stock and pre-funded warrants met the criteria for equity classification. The purchase warrants met the definition of a derivative instrument. Accordingly, upon issuance, the purchase warrants were recorded as a liability at fair value using the Black-Scholes option-pricing model in the amount of $13.4 million. Any subsequent changes in fair value of the purchase warrants is recognized in the consolidated statements of operations. The residual proceeds were allocated between the common stock and pre-funded warrants based on their relative fair values at the time of issuance. The amount allocated to the pre-funded warrants was recorded as a component of stockholders’ equity within additional paid-in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September 30, 2024, the fair value of the purchase warrants was $5.7 million. Accordingly, a gain on remeasurement of the purchase warrant liability of $0.4 million and $15.3 million was recorded in the three and nine months ended September 30, 2024, respectively. Subsequent to their issuance and as of September 30, 2024, 2,920,126 pre-funded warrants have been exercised. None of the purchase warrants have been exercised since their issuance.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At-the-Market (ATM)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Company entered into a sales agreement with Jefferies, LLC (Jefferies) with respect to an ATM,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nine months ended September 30, 2024, 7,839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common stock were sold pursuant to the sales agreement with Jefferies, resulting in net proceeds of approximately $0.01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Ginkgo 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2019, the Company issued to Ginkgo Bioworks, Inc. (Ginkgo) an aggregate of 422,718 shares of common stock at a purchase price per share of $135, and pre-funded warrants (the Ginkgo pre-funded warrants) to purchase up to an aggregate of 169,874 shares of common stock at an exercise price of $135 per share, with $134.85 of such exercise price paid at the closing of the offering. The net proceeds to the Company were approximately $79.9 million. None of the Ginkgo pre-funded warrants have been exercised as of September 30, 2024. (See Note 12, </w:t>
      </w:r>
      <w:r>
        <w:rPr>
          <w:rFonts w:ascii="Times New Roman" w:hAnsi="Times New Roman"/>
          <w:i/>
          <w:color w:val="000000"/>
          <w:sz w:val="20"/>
        </w:rPr>
        <w:t>Collaboration Agreements</w:t>
      </w:r>
      <w:r>
        <w:rPr>
          <w:rFonts w:ascii="Times New Roman" w:hAnsi="Times New Roman"/>
          <w:color w:val="000000"/>
          <w:sz w:val="20"/>
        </w:rPr>
        <w:t xml:space="preserve">: </w:t>
      </w:r>
      <w:r>
        <w:rPr>
          <w:rFonts w:ascii="Times New Roman" w:hAnsi="Times New Roman"/>
          <w:i/>
          <w:color w:val="000000"/>
          <w:sz w:val="20"/>
        </w:rPr>
        <w:t>Ginkgo Collaboration</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reserved for future issuance the following shares of common stock related to the potential exercise of Ginkgo pre-funded warrants, exercise of stock options, and the employee stock purchase plan: </w:t>
      </w:r>
    </w:p>
    <w:p>
      <w:pPr>
        <w:pStyle w:val="TextBody"/>
        <w:bidi w:val="0"/>
        <w:jc w:val="left"/>
        <w:rPr/>
      </w:pPr>
      <w:r>
        <w:rPr/>
        <w:t> </w:t>
      </w:r>
    </w:p>
    <w:tbl>
      <w:tblPr>
        <w:tblW w:w="6612" w:type="dxa"/>
        <w:jc w:val="left"/>
        <w:tblInd w:w="0" w:type="dxa"/>
        <w:tblLayout w:type="fixed"/>
        <w:tblCellMar>
          <w:top w:w="28" w:type="dxa"/>
          <w:left w:w="28" w:type="dxa"/>
          <w:bottom w:w="28" w:type="dxa"/>
          <w:right w:w="28" w:type="dxa"/>
        </w:tblCellMar>
      </w:tblPr>
      <w:tblGrid>
        <w:gridCol w:w="4876"/>
        <w:gridCol w:w="209"/>
        <w:gridCol w:w="1336"/>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pre-funded warrants</w:t>
            </w:r>
          </w:p>
        </w:tc>
        <w:tc>
          <w:tcPr>
            <w:tcW w:w="209"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552,309</w:t>
            </w:r>
          </w:p>
        </w:tc>
        <w:tc>
          <w:tcPr>
            <w:tcW w:w="191" w:type="dxa"/>
            <w:tcBorders/>
            <w:shd w:fill="CFF0FC" w:val="clear"/>
            <w:vAlign w:val="center"/>
          </w:tcPr>
          <w:p>
            <w:pPr>
              <w:pStyle w:val="TableContents"/>
              <w:bidi w:val="0"/>
              <w:spacing w:before="0" w:after="283"/>
              <w:jc w:val="left"/>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purchase warrants</w:t>
            </w:r>
          </w:p>
        </w:tc>
        <w:tc>
          <w:tcPr>
            <w:tcW w:w="20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91" w:type="dxa"/>
            <w:tcBorders/>
            <w:shd w:fill="FFFFFF" w:val="clear"/>
            <w:vAlign w:val="center"/>
          </w:tcPr>
          <w:p>
            <w:pPr>
              <w:pStyle w:val="TableContents"/>
              <w:bidi w:val="0"/>
              <w:spacing w:before="0" w:after="283"/>
              <w:jc w:val="left"/>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Ginkgo pre-funded warrants</w:t>
            </w:r>
          </w:p>
        </w:tc>
        <w:tc>
          <w:tcPr>
            <w:tcW w:w="209" w:type="dxa"/>
            <w:tcBorders/>
            <w:shd w:fill="CFF0FC" w:val="clear"/>
            <w:vAlign w:val="center"/>
          </w:tcPr>
          <w:p>
            <w:pPr>
              <w:pStyle w:val="TableContents"/>
              <w:bidi w:val="0"/>
              <w:spacing w:before="0" w:after="283"/>
              <w:jc w:val="left"/>
              <w:rPr/>
            </w:pPr>
            <w:r>
              <w:rPr/>
              <w:t> </w:t>
            </w:r>
          </w:p>
        </w:tc>
        <w:tc>
          <w:tcPr>
            <w:tcW w:w="13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169,874</w:t>
            </w:r>
          </w:p>
        </w:tc>
        <w:tc>
          <w:tcPr>
            <w:tcW w:w="191" w:type="dxa"/>
            <w:tcBorders/>
            <w:shd w:fill="CFF0FC" w:val="clear"/>
            <w:vAlign w:val="center"/>
          </w:tcPr>
          <w:p>
            <w:pPr>
              <w:pStyle w:val="TableContents"/>
              <w:bidi w:val="0"/>
              <w:spacing w:before="0" w:after="283"/>
              <w:jc w:val="left"/>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to purchase common stock</w:t>
            </w:r>
          </w:p>
        </w:tc>
        <w:tc>
          <w:tcPr>
            <w:tcW w:w="209"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291,586</w:t>
            </w:r>
          </w:p>
        </w:tc>
        <w:tc>
          <w:tcPr>
            <w:tcW w:w="191" w:type="dxa"/>
            <w:tcBorders/>
            <w:shd w:fill="FFFFFF" w:val="clear"/>
            <w:vAlign w:val="center"/>
          </w:tcPr>
          <w:p>
            <w:pPr>
              <w:pStyle w:val="TableContents"/>
              <w:bidi w:val="0"/>
              <w:spacing w:before="0" w:after="283"/>
              <w:jc w:val="left"/>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8,408,132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Equity-based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 2024, the number of shares of common stock available for issuance under the 2015 Equity Incentive Award Plan (the 2015 Plan) and the 2015 Employee Stock Purchase Plan (ESPP) was increased by 459,307 shares and 91,861 shares, respectively, due to the annual evergreen provision to increase shares available under the 2015 Plan and the ESPP. As of September 30, 2024, there were an aggregate of 713,934 shares available for future grant under the 2017 Stock Incentive Plan (the 2017 Plan) and the 2015 Plan, and 186,995 shares available for future grant under the ESPP.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equity</w:t>
        <w:noBreakHyphen/>
        <w:t>based compensation expense within the Company’s consolidated statements of operations and comprehensive loss for the three and nine months ended September 30, 2024 and 2023 (in thousands):</w:t>
      </w:r>
    </w:p>
    <w:p>
      <w:pPr>
        <w:pStyle w:val="TextBody"/>
        <w:bidi w:val="0"/>
        <w:jc w:val="left"/>
        <w:rPr/>
      </w:pPr>
      <w:r>
        <w:rPr/>
        <w:t> </w:t>
      </w:r>
    </w:p>
    <w:tbl>
      <w:tblPr>
        <w:tblW w:w="9744" w:type="dxa"/>
        <w:jc w:val="left"/>
        <w:tblInd w:w="0" w:type="dxa"/>
        <w:tblLayout w:type="fixed"/>
        <w:tblCellMar>
          <w:top w:w="28" w:type="dxa"/>
          <w:left w:w="28" w:type="dxa"/>
          <w:bottom w:w="28" w:type="dxa"/>
          <w:right w:w="28" w:type="dxa"/>
        </w:tblCellMar>
      </w:tblPr>
      <w:tblGrid>
        <w:gridCol w:w="3691"/>
        <w:gridCol w:w="146"/>
        <w:gridCol w:w="364"/>
        <w:gridCol w:w="726"/>
        <w:gridCol w:w="252"/>
        <w:gridCol w:w="252"/>
        <w:gridCol w:w="364"/>
        <w:gridCol w:w="726"/>
        <w:gridCol w:w="146"/>
        <w:gridCol w:w="146"/>
        <w:gridCol w:w="146"/>
        <w:gridCol w:w="295"/>
        <w:gridCol w:w="798"/>
        <w:gridCol w:w="204"/>
        <w:gridCol w:w="204"/>
        <w:gridCol w:w="295"/>
        <w:gridCol w:w="798"/>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expense acceleration</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equity</w:t>
        <w:noBreakHyphen/>
        <w:t>based compensation expense by type of award for the three and nine months ended September 30, 2024 and 2023 (in thousands):</w:t>
      </w:r>
    </w:p>
    <w:p>
      <w:pPr>
        <w:pStyle w:val="TextBody"/>
        <w:bidi w:val="0"/>
        <w:jc w:val="left"/>
        <w:rPr/>
      </w:pPr>
      <w:r>
        <w:rPr/>
        <w:t> </w:t>
      </w:r>
    </w:p>
    <w:tbl>
      <w:tblPr>
        <w:tblW w:w="8078" w:type="dxa"/>
        <w:jc w:val="left"/>
        <w:tblInd w:w="0" w:type="dxa"/>
        <w:tblLayout w:type="fixed"/>
        <w:tblCellMar>
          <w:top w:w="28" w:type="dxa"/>
          <w:left w:w="28" w:type="dxa"/>
          <w:bottom w:w="28" w:type="dxa"/>
          <w:right w:w="28" w:type="dxa"/>
        </w:tblCellMar>
      </w:tblPr>
      <w:tblGrid>
        <w:gridCol w:w="2026"/>
        <w:gridCol w:w="146"/>
        <w:gridCol w:w="364"/>
        <w:gridCol w:w="726"/>
        <w:gridCol w:w="252"/>
        <w:gridCol w:w="252"/>
        <w:gridCol w:w="364"/>
        <w:gridCol w:w="726"/>
        <w:gridCol w:w="146"/>
        <w:gridCol w:w="146"/>
        <w:gridCol w:w="146"/>
        <w:gridCol w:w="291"/>
        <w:gridCol w:w="790"/>
        <w:gridCol w:w="229"/>
        <w:gridCol w:w="202"/>
        <w:gridCol w:w="291"/>
        <w:gridCol w:w="790"/>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91" w:type="dxa"/>
            <w:tcBorders/>
            <w:shd w:fill="CFF0FC" w:val="clear"/>
            <w:vAlign w:val="center"/>
          </w:tcPr>
          <w:p>
            <w:pPr>
              <w:pStyle w:val="TableContents"/>
              <w:bidi w:val="0"/>
              <w:spacing w:before="0" w:after="283"/>
              <w:jc w:val="left"/>
              <w:rPr/>
            </w:pPr>
            <w:r>
              <w:rPr/>
              <w:t> </w:t>
            </w:r>
          </w:p>
        </w:tc>
      </w:tr>
      <w:tr>
        <w:trPr/>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91" w:type="dxa"/>
            <w:tcBorders/>
            <w:shd w:fill="FFFFFF" w:val="clear"/>
            <w:vAlign w:val="center"/>
          </w:tcPr>
          <w:p>
            <w:pPr>
              <w:pStyle w:val="TableContents"/>
              <w:bidi w:val="0"/>
              <w:spacing w:before="0" w:after="283"/>
              <w:jc w:val="left"/>
              <w:rPr/>
            </w:pPr>
            <w:r>
              <w:rPr/>
              <w:t> </w:t>
            </w:r>
          </w:p>
        </w:tc>
      </w:tr>
      <w:tr>
        <w:trPr/>
        <w:tc>
          <w:tcPr>
            <w:tcW w:w="2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2024, the Company granted 44,701 stock options with a weighted average exercise price of $4.20 per share. As of September 30, 2024, there was $0.3 million of unrecognized share-based compensation related to unvested stock option grants which is expected to be recognized over a weighted average period of 1.62 years. The total unrecognized share-based compensation cost will be adjusted for actual forfeitures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nine months ended September 30, 2024, the Company granted 362,700 restricted stock awards with a weighted average grant date fair value per share of $4.44. As of September 30, 2024, there was approximately $0.2 million of unrecognized share-based compensation related to restricted stock awards granted, which is expected to be recognized over a weighted average period of 1.3 years. The total unrecognized share-based compensation cost will be adjusted for actual forfeitures as they occur.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full description of the Company’s equity plans, refer to Note 9, </w:t>
      </w:r>
      <w:r>
        <w:rPr>
          <w:rFonts w:ascii="Times New Roman" w:hAnsi="Times New Roman"/>
          <w:i/>
          <w:color w:val="000000"/>
          <w:sz w:val="20"/>
        </w:rPr>
        <w:t>Equity-based Compensation and Equity Incentive Plans</w:t>
      </w:r>
      <w:r>
        <w:rPr>
          <w:rFonts w:ascii="Times New Roman" w:hAnsi="Times New Roman"/>
          <w:color w:val="000000"/>
          <w:sz w:val="20"/>
        </w:rPr>
        <w:t xml:space="preserve"> in the 2023 Annual Report.</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Collaboration Agreements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Roche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2021, the Company entered into a Pilot Collaboration and Option Agreement with F. Hoffmann-La Roche Ltd (Roche Basel) and Hoffmann-La Roche Inc. ("Roche US", and together with Roche Basel, "Roche") (the “Roche Collaboration and Option Agreement”). Under the terms of the Roche Collaboration and Option Agreement, the Company and Roche will seek to collaborate to research and pre-clinically develop Synthetic Biotics for addressing an undisclosed novel target for the treatment of inflammatory bowel disease.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2024 and 2023, the Company recognized $0.01 million and $0.6 million, respectively, as collaboration revenue associated with the Roche Collaboration and Option Agreement. The Roche Collaboration and Option Agreement concluded after the last milestone was achieved by the Company in October 2023. Subsequently, Roche did not exercise its exclusive option to enter into a licensing and collaboration agreement for further development and commercialization of the product candidate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full description of the Roche Collaboration and Option Agreement, refer to Note 10, </w:t>
      </w:r>
      <w:r>
        <w:rPr>
          <w:rFonts w:ascii="Times New Roman" w:hAnsi="Times New Roman"/>
          <w:i/>
          <w:color w:val="000000"/>
          <w:sz w:val="20"/>
        </w:rPr>
        <w:t xml:space="preserve">Collaboration Agreements </w:t>
      </w:r>
      <w:r>
        <w:rPr>
          <w:rFonts w:ascii="Times New Roman" w:hAnsi="Times New Roman"/>
          <w:color w:val="000000"/>
          <w:sz w:val="20"/>
        </w:rPr>
        <w:t>in the 2023 Annual Report.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Ginkgo Collaboration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2017, the Company established a technology collaboration with Ginkgo. In June 2019, the Company expanded its collaboration and entered into an agreement with Ginkgo for the research and development of engineered microbial therapeutic products (See Note 9). Under the 2019 expanded agreement, the Company made a prepayment to Ginkgo of $30.0 million for its foundry services that was to be provided to the Company over an initial term of five years, which could be extended for an additional three (3) years, subject to the satisfaction of specified conditions. Upon the expiration of such initial term and, if applicable, an additional term, any portion of the prepayment that has not been used to purchase services from Ginkgo will be retained by Ginkgo. In February 2024, the Company and its board of directors decided to discontinue the Synpheny-3 trial and significantly reduce its workforce and have made the decision to evaluate strategic options for the Company. As a result of this decision, the Company would no longer be purchasing services from Ginkgo. During the nine months ended September 30, 2024, the remaining $5.2 million of prepaid expenses related to this collaboration that were historically recorded in prepaid expenses and other current assets and prepaid research and development, net of current portion on the consolidated balance sheet, were recorded as restructuring and other charges on the consolidated statements of operations and comprehensive loss.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422,718 shares of common stock and pre-funded warrants to purchase an aggregate of 169,874 shares of common stock at an exercise price of $135 per share, with $134.85 of such exercise price paid at the closing of the offering (see Note 8, </w:t>
      </w:r>
      <w:r>
        <w:rPr>
          <w:rFonts w:ascii="Times New Roman" w:hAnsi="Times New Roman"/>
          <w:i/>
          <w:color w:val="000000"/>
          <w:sz w:val="20"/>
        </w:rPr>
        <w:t>Stockholder's Equity</w:t>
      </w:r>
      <w:r>
        <w:rPr>
          <w:rFonts w:ascii="Times New Roman" w:hAnsi="Times New Roman"/>
          <w:color w:val="000000"/>
          <w:sz w:val="20"/>
        </w:rPr>
        <w:t xml:space="preserve"> and Note 10</w:t>
      </w:r>
      <w:r>
        <w:rPr>
          <w:rFonts w:ascii="Times New Roman" w:hAnsi="Times New Roman"/>
          <w:i/>
          <w:color w:val="000000"/>
          <w:sz w:val="20"/>
        </w:rPr>
        <w:t>, Collaborations: Ginkgo Collaboration,</w:t>
      </w:r>
      <w:r>
        <w:rPr>
          <w:rFonts w:ascii="Times New Roman" w:hAnsi="Times New Roman"/>
          <w:color w:val="000000"/>
          <w:sz w:val="20"/>
        </w:rPr>
        <w:t xml:space="preserve"> in the audited financial statements included in the 2023 Annual Report). The shares of common stock into which the warrants may be exercised are considered outstanding for the purposes of computing net loss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potential common shares are excluded from the calculation of the diluted net loss per share attributable to common stockholders because including them would have had an anti-dilutive effect. </w:t>
      </w:r>
    </w:p>
    <w:p>
      <w:pPr>
        <w:pStyle w:val="TextBody"/>
        <w:bidi w:val="0"/>
        <w:spacing w:before="120" w:after="283"/>
        <w:jc w:val="left"/>
        <w:rPr/>
      </w:pPr>
      <w:r>
        <w:rPr/>
        <w:t> </w:t>
      </w:r>
    </w:p>
    <w:tbl>
      <w:tblPr>
        <w:tblW w:w="6624" w:type="dxa"/>
        <w:jc w:val="left"/>
        <w:tblInd w:w="0" w:type="dxa"/>
        <w:tblLayout w:type="fixed"/>
        <w:tblCellMar>
          <w:top w:w="28" w:type="dxa"/>
          <w:left w:w="28" w:type="dxa"/>
          <w:bottom w:w="28" w:type="dxa"/>
          <w:right w:w="28" w:type="dxa"/>
        </w:tblCellMar>
      </w:tblPr>
      <w:tblGrid>
        <w:gridCol w:w="3991"/>
        <w:gridCol w:w="146"/>
        <w:gridCol w:w="146"/>
        <w:gridCol w:w="931"/>
        <w:gridCol w:w="146"/>
        <w:gridCol w:w="146"/>
        <w:gridCol w:w="146"/>
        <w:gridCol w:w="78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41,798</w:t>
            </w:r>
          </w:p>
        </w:tc>
        <w:tc>
          <w:tcPr>
            <w:tcW w:w="19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653,927</w:t>
            </w:r>
          </w:p>
        </w:tc>
        <w:tc>
          <w:tcPr>
            <w:tcW w:w="19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 shares issuable under the ESPP</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7,994,084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(14)</w:t>
      </w:r>
    </w:p>
    <w:p>
      <w:pPr>
        <w:pStyle w:val="TextBody"/>
        <w:bidi w:val="0"/>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commitments described in the Company’s consolidated financial statements as of and for the year ended December 31, 2023 and the notes thereto included in the 2023 Annual Report have had no material changes during the nine months ended September 30, 2024, other than the Termination Agreement as explained in Note 9.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Related-Party Transactions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June 2019, the Company expanded its collaboration and entered into an agreement with Ginkgo for the research and development of engineered microbial therapeutic products. As of September 30, 2024, Ginkgo owned 422,718 shares of the Company’s outstanding common stock. See Note 10, </w:t>
      </w:r>
      <w:r>
        <w:rPr>
          <w:rFonts w:ascii="Times New Roman" w:hAnsi="Times New Roman"/>
          <w:i/>
          <w:color w:val="000000"/>
          <w:sz w:val="20"/>
        </w:rPr>
        <w:t>Ginkgo Collaboration,</w:t>
      </w:r>
      <w:r>
        <w:rPr>
          <w:rFonts w:ascii="Times New Roman" w:hAnsi="Times New Roman"/>
          <w:color w:val="000000"/>
          <w:sz w:val="20"/>
        </w:rPr>
        <w:t xml:space="preserve"> in the audited financial statements included in the 2023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agreement the Company made a prepayment to Ginkgo of $30.0 million for its foundry services that would be provided to the Company over an initial term of five years. Upon the expiration of such initial term and, if applicable, an additional term, any portion of the prepayment that has not been used to purchase services from Ginkgo will be retained by Ginkgo. In February 2024, the Company and its board of directors decided to discontinue the Synpheny-3 trial, significantly reduce its workforce and to evaluate strategic options for the Company. As a result of this decision, the Company would no longer be purchasing services from Ginkgo. During the nine months ended September 30, 2024, the remaining $5.2 million of prepaid expenses related to this collaboration that were historically recorded in prepaid expenses and other current assets and prepaid research and development, net of current portion on the consolidated balance sheet, were recorded as restructuring and other charges on the consolidated statements of operations and comprehensive loss.</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did not record an income tax benefit in its consolidated statements of operations and comprehensive loss for the three and nine months ended September 30, 2024 and 2023 as it is more likely than not that the Company will not recognize the federal and state deferred tax benefits generated by its losses. The Company has provided a valuation allowance for the full amount of its net deferred tax assets as of September 30, 2024 and December 31, 2023, as management has determined it is more likely than not that any future benefit from deductible temporary differences and net operating loss and tax credit carryforwards would not be realized. The Company did not record any amounts for unrecognized tax benefits as of September 30, 2024 or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item_2_managements_discussion_analysis_f"/>
      <w:bookmarkEnd w:id="7"/>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The interim financial statements and this Management’s Discussion and Analysis of Financial Condition and Results of Operations should be read together with our audited financial statements and accompanying notes for the years ended December 31, 2023 and 2022 included in our Annual Report on Form 10-K filed with the SEC on March 19, 2024, as amended on April 29,2024 (the "2023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30 of this Quarterly Report on Form 10-Q for a discussion of certain risk factors applicable to our business, financial condition, and results of operations. Operating results are not necessarily indicative of results that may occur for the full fiscal year or any other future period. 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biopharmaceutical company advancing novel therapeutics to transform the care of serious diseases. We focus on rare metabolic disorders, with our lead program, labafenogene marselecobac (SYNB1934), studied in Synpheny-3, a global, pivotal Phase 3 study for patients with phenylketonuria (PKU), and SYNB1353, a potential treatment for homocystinuria (HCU). Both PKU and HCU are caused by inborn errors of metabolism, and present significant need for innovation due to limitations of both efficacy and safety in the currently available medical treatment options.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2024, we made the decision to discontinue Synpheny-3, our pivotal study of our lead product candidate, labafenogene marselecobac (SYNB1934), as a potential treatment for PKU. The decision to end Synpheny-3 is based on results of an internal review in advance of an upcoming independent Data Monitoring Committee (DMC) assessment, which indicated the trial was unlikely to meet its primary endpoint. The decision was not based on concerns regarding safety or tolerability. We have completed the discontinuation with all of the Synpheny-3 clinical trial sites. As a result, our current corporate strategy is focused on pursuing strategic initiatives to enhance stockholder value, including but not limited to, a merger or the sale of the Company. Our strategic process is both active and ongoing and includes a range of interactions with transaction counterparties. Thus, we believe it is in our stockholders’ best interest to allow sufficient opportunity to pursue and consummate one or more such transactions and to consider additional alternatives that may materialize in the future. However, there can be no assurance that such activities will result in any agreements or transactions that will enhance shareholder value. Further, any strategic transaction that is completed ultimately may not deliver the anticipated benefits or enhance shareholder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early-stage pipeline includes product candidates for enteric hyperoxaluria, gout, and cystinuria, and has been fueled by a reproducible, proprietary approach that creates GI-restricted, oral medicines with new enzymatic pathways designed to consume or produce specific biological targets. We design, develop and manufacture these drug candidates, which are produced by applying genetic engineering to well-characterized probiotics.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drug candidates are designed through precise engineering to target validated biological pathways in the pathophysiology of a given disease. By using a probiotic to deliver these new enzymatic pathways, the activity is restricted to the gastrointestinal (GI) tract, avoiding systemic exposure and associated risks that limit the success of other modalities. Our pipeline programs are all based on the same probiotic Escherichia coli Nissle 1917, which provides synergies across programs, as well as more than one hundred years of human dosing experience. Our drug candidates are engineered to be non-colonizing, and fully reversible via GI clearance. These potential biopharmaceuticals are all orally administered, conducive to straightforward shipping, distribution and storage. For manufacturing, our platform leverages processes with familiar foundations, including fermentation and lyophilization, facilitating process design and scale-up, combined with unique and proprietary innovations tailored to our unique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founding, based upon technology from the Massachusetts Institute of Technology (MIT) in 2014, we have progressed a pipeline of multiple drug candidates across different stages,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Labafenogene marselecobac (SYNB1934), which was being studied in Synpheny-3, a pivotal, Phase 3 study for the treatment of patients with PKU;</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SYNB1353, a potential treatment for HCU, has achieved proof of mechanism in a Phase 1 study in healthy volunteers;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research activities on a potential drug candidate for cystinuria, a rare, genetic cause of recurrent kidney stones which is also caused by an underlying metabolic disorder;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SYNB2081, a drug candidate for gout which was in IND-enabling studies;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research focused on novel, locally-acting, GI-restricted biotherapeutics for indications in inflammatory bowel disease (IBD).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Pipeline: Synthetic Biotics In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pipeline consists of drug candidates targeting significant medical needs caused by an underlying metabolic disorder. These include labafenogene marselecobac, which was being evaluated in a pivotal, Phase 3 study in PKU, and drug candidates designed to treat HCU, enteric hyperoxaluria, and gout. Our preclinical work includes additional metabolic disease research, including cystinuria, target exploration, and focused research efforts in IBD.</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drawing>
          <wp:inline distT="0" distB="0" distL="0" distR="0">
            <wp:extent cx="6858000" cy="3105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105150"/>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operate in one reportable business segment—the discovery and development of Synthetic Biotics. To date, we have dedicated substantially all of our activities to the research and development of our product candidates. We have funded our operations to date primarily with proceeds from the sale of preferred stock, common stock, preferred units, warrants, payments received under the Roche Collaboration and Option Agreement, prior collaborations, interest earned on investments, and cash received in the Merger.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generated any revenue to date from product sales and have incurred significant operating losses since our inception. We have incurred net losses of approximately $0.1 million and $22.6 million for the three and nine months ended September 30, 2024, respectively, and $12.1 million and $42.7 million for the three and nine months ended September 30, 2023, respectively. As of September 30, 2024, we had an accumulated deficit of approximately $440.9 million, and we expect to incur losses for the foreseeable future as we develop our product candidates and explore strategic alternatives. Historically, our expenses and capital requirements have increased substantially in connection with our research and development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Completed preclinical studies, initiated and completed clinical trials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Contracted to manufacture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Advanced research and development related activities to expand our product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Sought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Maintained, expanded and protected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Hired additional staff, including clinical, scientific, commercial, and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Expanded our existing infrastructure and secure space in a facility to support continued growth in our research and development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Added operational and finance personnel to support product development efforts and to support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has had a material impact on our business or operating results during the periods presented. However, inflation, has had, and may continue to have, an impact on the labor costs we incur to attract and retain qualified personnel, costs to conduct clinical trials and other operational costs. Inflationary costs could adversely affect our business, financial condition and results of operations. In addition, increased inflation has had, and may continue to have, an effect on interest rates. Increased interest rates may adversely affect our borrowing rate and our ability to obtain, or the terms under which we can obtain, any potential additional funding.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Revenue was previously generated through a collaboration and option agreement with Roche for the development and commercialization of product candidates. The Roche Collaboration and Option Agreement concluded after we achieved the last milestone under the Roche Collaboration and Option Agreement in October 2023. Subsequently, Roche did not exercise its exclusive option to enter into a licensing and collaboration agreement for further development and commercialization of the product candidate. See Note 12, </w:t>
      </w:r>
      <w:r>
        <w:rPr>
          <w:rFonts w:ascii="Times New Roman" w:hAnsi="Times New Roman"/>
          <w:i/>
          <w:color w:val="000000"/>
          <w:sz w:val="20"/>
        </w:rPr>
        <w:t>Collaboration Agreements:</w:t>
      </w:r>
      <w:r>
        <w:rPr>
          <w:rFonts w:ascii="Times New Roman" w:hAnsi="Times New Roman"/>
          <w:color w:val="000000"/>
          <w:sz w:val="20"/>
        </w:rPr>
        <w:t xml:space="preserve"> </w:t>
      </w:r>
      <w:r>
        <w:rPr>
          <w:rFonts w:ascii="Times New Roman" w:hAnsi="Times New Roman"/>
          <w:i/>
          <w:color w:val="000000"/>
          <w:sz w:val="20"/>
        </w:rPr>
        <w:t>Roche Collaboration</w:t>
      </w:r>
      <w:r>
        <w:rPr>
          <w:rFonts w:ascii="Times New Roman" w:hAnsi="Times New Roman"/>
          <w:color w:val="000000"/>
          <w:sz w:val="20"/>
        </w:rPr>
        <w:t xml:space="preserve"> in the notes to the unaudited consolidated financial statements appearing elsewhere in this Quarterly Report on Form 10-Q for a full discussion of the arrangement. </w:t>
      </w:r>
    </w:p>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benefits and other employee 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supplies to support our internal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related facility and depreciation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leased manufacturing space;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 costs relating to research, process and formulation development, preclinical and clinical studies and regulatory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successful development of our product candidates is highly uncertain and subject to a number of risks. Refer to the risk factors under the heading </w:t>
      </w:r>
      <w:r>
        <w:rPr>
          <w:rFonts w:ascii="Times New Roman" w:hAnsi="Times New Roman"/>
          <w:i/>
          <w:color w:val="000000"/>
          <w:sz w:val="20"/>
        </w:rPr>
        <w:t>Risks Related to the Development of Our Product Candidates</w:t>
      </w:r>
      <w:r>
        <w:rPr>
          <w:rFonts w:ascii="Times New Roman" w:hAnsi="Times New Roman"/>
          <w:color w:val="000000"/>
          <w:sz w:val="20"/>
        </w:rPr>
        <w:t xml:space="preserve"> in Part II, Item 1A, found elsewhere in this Quarterly Report on Form 10-Q.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account for a significant portion of our operating expenses. We expect our research and development expenses to decrease in the near future as we have discontinued our Synpheny-3 clinical trial and are evaluating strategic options for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and professional fees for accounting, tax, legal and consulting services. We anticipate that our general and administrative expenses may increase in the future as we explore strategic alternatives, including potential legal, accounting and advisory expenses and other related charges. We also anticipate that we will continue to incur accounting, legal, regulatory, compliance and director and officer insurance costs as well as investor and public relations expenses associated with being a public company.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we made the decision to discontinue Synpheny-3, our pivotal study of our lead product candidate, labafenogene marselecobac (SYNB1934), as a potential treatment for PKU. As a result, we started to undertake certain operational and organizational steps in connection with a strategic reorganization plan and related cost-saving measures. We initiated a plan to review strategic alternatives in which we substantially reduced our operations and reduced the workforce by more than 90%, leaving a core team of individuals to lead the strategic review process.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investment income consists of income earned on investments. Interest expense consists of expense related to our finance leases. Other expense consists primarily of gains and losses on foreign currency invoices and losses on remeasurement of the purchase warrant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policies are described in our 2023 Annual Report. During the nine months ended September 30, 2024, there were no new or material changes to our existing critical accounting policies. We believe that these identified policies are critical to fully understanding and evaluating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and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summarizes the key factors our management believes are necessary for an understanding of our consolidated financial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Three Months Ended September 30, 2024 Compared to Three Months Ended September 30, 2023</w:t>
      </w:r>
    </w:p>
    <w:p>
      <w:pPr>
        <w:pStyle w:val="TextBody"/>
        <w:bidi w:val="0"/>
        <w:spacing w:before="360" w:after="283"/>
        <w:jc w:val="left"/>
        <w:rPr/>
      </w:pPr>
      <w:r>
        <w:rPr/>
        <w:t> </w:t>
      </w:r>
    </w:p>
    <w:tbl>
      <w:tblPr>
        <w:tblW w:w="9101" w:type="dxa"/>
        <w:jc w:val="left"/>
        <w:tblInd w:w="0" w:type="dxa"/>
        <w:tblLayout w:type="fixed"/>
        <w:tblCellMar>
          <w:top w:w="28" w:type="dxa"/>
          <w:left w:w="28" w:type="dxa"/>
          <w:bottom w:w="28" w:type="dxa"/>
          <w:right w:w="28" w:type="dxa"/>
        </w:tblCellMar>
      </w:tblPr>
      <w:tblGrid>
        <w:gridCol w:w="4296"/>
        <w:gridCol w:w="416"/>
        <w:gridCol w:w="1129"/>
        <w:gridCol w:w="191"/>
        <w:gridCol w:w="343"/>
        <w:gridCol w:w="1202"/>
        <w:gridCol w:w="166"/>
        <w:gridCol w:w="211"/>
        <w:gridCol w:w="736"/>
        <w:gridCol w:w="411"/>
      </w:tblGrid>
      <w:tr>
        <w:trPr/>
        <w:tc>
          <w:tcPr>
            <w:tcW w:w="429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vAlign w:val="center"/>
          </w:tcPr>
          <w:p>
            <w:pPr>
              <w:pStyle w:val="TableContents"/>
              <w:bidi w:val="0"/>
              <w:spacing w:before="0" w:after="283"/>
              <w:jc w:val="center"/>
              <w:rPr/>
            </w:pPr>
            <w:r>
              <w:rPr/>
              <w:t> </w:t>
            </w:r>
          </w:p>
        </w:tc>
        <w:tc>
          <w:tcPr>
            <w:tcW w:w="32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vAlign w:val="center"/>
          </w:tcPr>
          <w:p>
            <w:pPr>
              <w:pStyle w:val="TableContents"/>
              <w:bidi w:val="0"/>
              <w:spacing w:before="0" w:after="283"/>
              <w:jc w:val="left"/>
              <w:rPr/>
            </w:pPr>
            <w:r>
              <w:rPr/>
              <w:t> </w:t>
            </w:r>
          </w:p>
        </w:tc>
        <w:tc>
          <w:tcPr>
            <w:tcW w:w="4394"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4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54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41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3"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9,616</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41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91"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and other charges</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41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3"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w:t>
            </w:r>
          </w:p>
        </w:tc>
        <w:tc>
          <w:tcPr>
            <w:tcW w:w="411" w:type="dxa"/>
            <w:tcBorders/>
            <w:shd w:fill="CFF0FC" w:val="clear"/>
            <w:vAlign w:val="center"/>
          </w:tcPr>
          <w:p>
            <w:pPr>
              <w:pStyle w:val="TableContents"/>
              <w:bidi w:val="0"/>
              <w:spacing w:before="0" w:after="283"/>
              <w:jc w:val="lef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54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41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91"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41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41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91"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41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11,958</w:t>
            </w:r>
          </w:p>
        </w:tc>
        <w:tc>
          <w:tcPr>
            <w:tcW w:w="411" w:type="dxa"/>
            <w:tcBorders/>
            <w:shd w:fill="FFFFFF" w:val="clear"/>
            <w:vAlign w:val="center"/>
          </w:tcPr>
          <w:p>
            <w:pPr>
              <w:pStyle w:val="TableContents"/>
              <w:bidi w:val="0"/>
              <w:spacing w:before="0" w:after="283"/>
              <w:jc w:val="left"/>
              <w:rPr/>
            </w:pPr>
            <w:r>
              <w:rPr/>
              <w:t> </w:t>
            </w:r>
          </w:p>
        </w:tc>
      </w:tr>
      <w:tr>
        <w:trPr/>
        <w:tc>
          <w:tcPr>
            <w:tcW w:w="4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41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vAlign w:val="center"/>
          </w:tcPr>
          <w:p>
            <w:pPr>
              <w:pStyle w:val="TableContents"/>
              <w:bidi w:val="0"/>
              <w:spacing w:before="0" w:after="283"/>
              <w:jc w:val="lef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revenue for the three months ended September 30, 2024, as compared to $0.4 million for the corresponding period in 2023. Revenue for the three months ended September 30, 2023 was related to services performed under the Roche Collaboration that we entered into in June 2021. The Roche Collaboration concluded after we achieved the last milestone in October 2023. Subsequently, Roche did not exercise its exclusive option to enter into a licensing and collaboration agreement for further development and commercialization of the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a gain of $0.7 million related to research and development expense for the three months ended September 30, 2024 compared to research and development expenses of $9.6 million in the corresponding period in 2023, a decrease of $10.3 million. The following table summarizes our research and development expense for the three months ended September 30, 2024 and 2023 (in thousands):</w:t>
      </w:r>
    </w:p>
    <w:p>
      <w:pPr>
        <w:pStyle w:val="TextBody"/>
        <w:bidi w:val="0"/>
        <w:spacing w:before="120" w:after="283"/>
        <w:jc w:val="left"/>
        <w:rPr/>
      </w:pPr>
      <w:r>
        <w:rPr/>
        <w:t> </w:t>
      </w:r>
    </w:p>
    <w:tbl>
      <w:tblPr>
        <w:tblW w:w="9809" w:type="dxa"/>
        <w:jc w:val="left"/>
        <w:tblInd w:w="0" w:type="dxa"/>
        <w:tblLayout w:type="fixed"/>
        <w:tblCellMar>
          <w:top w:w="28" w:type="dxa"/>
          <w:left w:w="28" w:type="dxa"/>
          <w:bottom w:w="28" w:type="dxa"/>
          <w:right w:w="28" w:type="dxa"/>
        </w:tblCellMar>
      </w:tblPr>
      <w:tblGrid>
        <w:gridCol w:w="6151"/>
        <w:gridCol w:w="258"/>
        <w:gridCol w:w="590"/>
        <w:gridCol w:w="203"/>
        <w:gridCol w:w="179"/>
        <w:gridCol w:w="258"/>
        <w:gridCol w:w="700"/>
        <w:gridCol w:w="166"/>
        <w:gridCol w:w="146"/>
        <w:gridCol w:w="211"/>
        <w:gridCol w:w="736"/>
        <w:gridCol w:w="211"/>
      </w:tblGrid>
      <w:tr>
        <w:trPr/>
        <w:tc>
          <w:tcPr>
            <w:tcW w:w="61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vAlign w:val="center"/>
          </w:tcPr>
          <w:p>
            <w:pPr>
              <w:pStyle w:val="TableContents"/>
              <w:bidi w:val="0"/>
              <w:spacing w:before="0" w:after="283"/>
              <w:jc w:val="center"/>
              <w:rPr/>
            </w:pPr>
            <w:r>
              <w:rPr/>
              <w:t> </w:t>
            </w:r>
          </w:p>
        </w:tc>
        <w:tc>
          <w:tcPr>
            <w:tcW w:w="218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6151" w:type="dxa"/>
            <w:tcBorders/>
            <w:shd w:fill="FFFFFF" w:val="cle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vAlign w:val="center"/>
          </w:tcPr>
          <w:p>
            <w:pPr>
              <w:pStyle w:val="TableContents"/>
              <w:bidi w:val="0"/>
              <w:spacing w:before="0" w:after="283"/>
              <w:jc w:val="center"/>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Labafenogene marselecobac (SYNB1934)</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SYNB1618</w:t>
            </w:r>
          </w:p>
        </w:tc>
        <w:tc>
          <w:tcPr>
            <w:tcW w:w="258"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SYNB8802</w:t>
            </w:r>
          </w:p>
        </w:tc>
        <w:tc>
          <w:tcPr>
            <w:tcW w:w="258"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shd w:fill="CFF0FC"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SYNB1353</w:t>
            </w:r>
          </w:p>
        </w:tc>
        <w:tc>
          <w:tcPr>
            <w:tcW w:w="258"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color w:val="000000"/>
              </w:rPr>
            </w:pPr>
            <w:r>
              <w:rPr>
                <w:color w:val="000000"/>
              </w:rPr>
              <w:t>—</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SYNB1891</w:t>
            </w:r>
          </w:p>
        </w:tc>
        <w:tc>
          <w:tcPr>
            <w:tcW w:w="258"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color w:val="000000"/>
              </w:rPr>
            </w:pPr>
            <w:r>
              <w:rPr>
                <w:color w:val="000000"/>
              </w:rPr>
              <w:t>—</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pre-development candidate costs and unallocated costs</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external costs</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Internal costs:</w:t>
            </w:r>
          </w:p>
        </w:tc>
        <w:tc>
          <w:tcPr>
            <w:tcW w:w="848"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compensation and benefits (including equity-based compensation expense)</w:t>
            </w:r>
          </w:p>
        </w:tc>
        <w:tc>
          <w:tcPr>
            <w:tcW w:w="258" w:type="dxa"/>
            <w:tcBorders/>
            <w:shd w:fill="CFF0FC" w:val="clear"/>
            <w:vAlign w:val="center"/>
          </w:tcPr>
          <w:p>
            <w:pPr>
              <w:pStyle w:val="TableContents"/>
              <w:bidi w:val="0"/>
              <w:spacing w:before="0" w:after="283"/>
              <w:jc w:val="left"/>
              <w:rPr/>
            </w:pPr>
            <w:r>
              <w:rPr/>
              <w:t> </w:t>
            </w:r>
          </w:p>
        </w:tc>
        <w:tc>
          <w:tcPr>
            <w:tcW w:w="5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other</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internal costs</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research and development expense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external research and development costs of $4.8 million, which primarily consisted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$3.7 million decrease in clinical, manufacturing and professional costs associated with Labafenogene marselecobac (SYNB1934). The decision to discontinue Synpheny-3, our pivotal study of our lead product candidate, labafenogene marselecobac (SYNB1934), as a potential treatment for PKU, was made in February 2024. During the three months ended September 30, 2024 our estimate of the amount of clinical and manufacturing expenses we had incurred was revised, following our decision to discontinue Synpheny-3, which resulted in a benefit of $0.6 million upon reversal of the accrual;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$0.3 million decrease in clinical, manufacturing and professional costs associated with SYNB1618 (earlier generation for Labafenogene marselecobac) for the Phase 2 Synpheny-1 study. We completed the final reconciliation of the study with the contract research organization (CRO) and received a refund during the three months ended September 30,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$0.2 million increase in clinical, manufacturing and professional costs associated with SYNB8802 (achieved proof of concept in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 million decrease in other early development candidates and unallocated costs; and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$5.5 million decrease in internal research and development costs, which was primarily driven by the corporate restructuring and reduction in its workforce by more than 90%.</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was $1.2 million for the three months ended September 30, 2024, compared to $3.4 million for the corresponding period in 2023. The decrease was primarily due to lower compensation, benefits and other employee-related expenses due to reduced headcount and decreased professional services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and its board of directors decided to discontinue the Synpheny-3 trial and to conduct a comprehensive review of strategic alternatives. We also announced a corporate restructuring that resulted in a reduction in our workforce by more than 90%, leaving a core team of individuals to lead the strategic review process. We recorded restructuring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charges of $0.3 million for the three months ended September 30, 2024. The restructuring charges were primarily due to severance payments related to the reduction in workforce, legal fees, and contract termination costs.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was $0.6 million for the three months ended September 30, 2024, compared to $0.5 million for the corresponding period in 2023. The increase in other income of $0.1 million was primarily related to a decrease in interest and investment income offset by the change in fair value of the purchase warrants classified as liabilities on the consolidated balance sheet.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Nine Months Ended September 30, 2024 Compared to Nine Months Ended September 30, 2023</w:t>
      </w:r>
    </w:p>
    <w:p>
      <w:pPr>
        <w:pStyle w:val="TextBody"/>
        <w:bidi w:val="0"/>
        <w:spacing w:before="360" w:after="283"/>
        <w:jc w:val="left"/>
        <w:rPr/>
      </w:pPr>
      <w:r>
        <w:rPr/>
        <w:t> </w:t>
      </w:r>
    </w:p>
    <w:tbl>
      <w:tblPr>
        <w:tblW w:w="9079" w:type="dxa"/>
        <w:jc w:val="left"/>
        <w:tblInd w:w="0" w:type="dxa"/>
        <w:tblLayout w:type="fixed"/>
        <w:tblCellMar>
          <w:top w:w="28" w:type="dxa"/>
          <w:left w:w="28" w:type="dxa"/>
          <w:bottom w:w="28" w:type="dxa"/>
          <w:right w:w="28" w:type="dxa"/>
        </w:tblCellMar>
      </w:tblPr>
      <w:tblGrid>
        <w:gridCol w:w="4296"/>
        <w:gridCol w:w="344"/>
        <w:gridCol w:w="1201"/>
        <w:gridCol w:w="169"/>
        <w:gridCol w:w="344"/>
        <w:gridCol w:w="1201"/>
        <w:gridCol w:w="166"/>
        <w:gridCol w:w="211"/>
        <w:gridCol w:w="736"/>
        <w:gridCol w:w="411"/>
      </w:tblGrid>
      <w:tr>
        <w:trPr/>
        <w:tc>
          <w:tcPr>
            <w:tcW w:w="429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vAlign w:val="center"/>
          </w:tcPr>
          <w:p>
            <w:pPr>
              <w:pStyle w:val="TableContents"/>
              <w:bidi w:val="0"/>
              <w:spacing w:before="0" w:after="283"/>
              <w:jc w:val="center"/>
              <w:rPr/>
            </w:pPr>
            <w:r>
              <w:rPr/>
              <w:t> </w:t>
            </w:r>
          </w:p>
        </w:tc>
        <w:tc>
          <w:tcPr>
            <w:tcW w:w="32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vAlign w:val="center"/>
          </w:tcPr>
          <w:p>
            <w:pPr>
              <w:pStyle w:val="TableContents"/>
              <w:bidi w:val="0"/>
              <w:spacing w:before="0" w:after="283"/>
              <w:jc w:val="left"/>
              <w:rPr/>
            </w:pPr>
            <w:r>
              <w:rPr/>
              <w:t> </w:t>
            </w:r>
          </w:p>
        </w:tc>
        <w:tc>
          <w:tcPr>
            <w:tcW w:w="4372"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4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9"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545"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w:t>
            </w:r>
          </w:p>
        </w:tc>
        <w:tc>
          <w:tcPr>
            <w:tcW w:w="169"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33,831</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169"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11,291</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and other charges</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(39,174</w:t>
            </w:r>
          </w:p>
        </w:tc>
        <w:tc>
          <w:tcPr>
            <w:tcW w:w="1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w:t>
            </w:r>
          </w:p>
        </w:tc>
        <w:tc>
          <w:tcPr>
            <w:tcW w:w="411" w:type="dxa"/>
            <w:tcBorders/>
            <w:shd w:fill="CFF0FC" w:val="clear"/>
            <w:vAlign w:val="center"/>
          </w:tcPr>
          <w:p>
            <w:pPr>
              <w:pStyle w:val="TableContents"/>
              <w:bidi w:val="0"/>
              <w:spacing w:before="0" w:after="283"/>
              <w:jc w:val="lef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545" w:type="dxa"/>
            <w:gridSpan w:val="2"/>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righ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34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9"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34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color w:val="000000"/>
              </w:rPr>
            </w:pPr>
            <w:r>
              <w:rPr>
                <w:color w:val="000000"/>
              </w:rPr>
              <w:t>—</w:t>
            </w:r>
          </w:p>
        </w:tc>
        <w:tc>
          <w:tcPr>
            <w:tcW w:w="169"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purchase warrant liability</w:t>
            </w:r>
          </w:p>
        </w:tc>
        <w:tc>
          <w:tcPr>
            <w:tcW w:w="34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15,334</w:t>
            </w:r>
          </w:p>
        </w:tc>
        <w:tc>
          <w:tcPr>
            <w:tcW w:w="169"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34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(22,640</w:t>
            </w:r>
          </w:p>
        </w:tc>
        <w:tc>
          <w:tcPr>
            <w:tcW w:w="1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20,096</w:t>
            </w:r>
          </w:p>
        </w:tc>
        <w:tc>
          <w:tcPr>
            <w:tcW w:w="411" w:type="dxa"/>
            <w:tcBorders/>
            <w:shd w:fill="FFFFFF" w:val="clear"/>
            <w:vAlign w:val="center"/>
          </w:tcPr>
          <w:p>
            <w:pPr>
              <w:pStyle w:val="TableContents"/>
              <w:bidi w:val="0"/>
              <w:spacing w:before="0" w:after="283"/>
              <w:jc w:val="left"/>
              <w:rPr/>
            </w:pPr>
            <w:r>
              <w:rPr/>
              <w:t> </w:t>
            </w:r>
          </w:p>
        </w:tc>
      </w:tr>
      <w:tr>
        <w:trPr/>
        <w:tc>
          <w:tcPr>
            <w:tcW w:w="4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CFF0FC" w:val="clear"/>
            <w:vAlign w:val="center"/>
          </w:tcPr>
          <w:p>
            <w:pPr>
              <w:pStyle w:val="TableContents"/>
              <w:bidi w:val="0"/>
              <w:spacing w:before="0" w:after="283"/>
              <w:jc w:val="left"/>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(22,645</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was $0.01 million for the nine months ended September 30, 2024, as compared to $0.6 million for the corresponding period in 2023. Revenue for the nine months ended September 30, 2024 was related to a material transfer and consulting agreement, under which work was completed in March 2024. Revenue for the nine months ended September 30, 2023 was related to services performed under the Roche Collaboration that we entered into in June 2021. The Roche Collaboration concluded after we achieved the last milestone in October 2023. Subsequently, Roche did not exercise its exclusive option to enter into a licensing and collaboration agreement for further development and commercialization of the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was $9.2 million for the nine months ended September 30, 2024 compared to $33.8 million in the corresponding period in 2023, a decrease of $24.6 million. The following table summarizes our research and development expense for the nine months ended September 30, 2024 and 2023 (in thousands):</w:t>
      </w:r>
    </w:p>
    <w:p>
      <w:pPr>
        <w:pStyle w:val="TextBody"/>
        <w:bidi w:val="0"/>
        <w:spacing w:before="360" w:after="283"/>
        <w:jc w:val="left"/>
        <w:rPr/>
      </w:pPr>
      <w:r>
        <w:rPr/>
        <w:t> </w:t>
      </w:r>
    </w:p>
    <w:tbl>
      <w:tblPr>
        <w:tblW w:w="9718" w:type="dxa"/>
        <w:jc w:val="left"/>
        <w:tblInd w:w="0" w:type="dxa"/>
        <w:tblLayout w:type="fixed"/>
        <w:tblCellMar>
          <w:top w:w="28" w:type="dxa"/>
          <w:left w:w="28" w:type="dxa"/>
          <w:bottom w:w="28" w:type="dxa"/>
          <w:right w:w="28" w:type="dxa"/>
        </w:tblCellMar>
      </w:tblPr>
      <w:tblGrid>
        <w:gridCol w:w="6151"/>
        <w:gridCol w:w="223"/>
        <w:gridCol w:w="605"/>
        <w:gridCol w:w="176"/>
        <w:gridCol w:w="154"/>
        <w:gridCol w:w="223"/>
        <w:gridCol w:w="716"/>
        <w:gridCol w:w="166"/>
        <w:gridCol w:w="146"/>
        <w:gridCol w:w="211"/>
        <w:gridCol w:w="736"/>
        <w:gridCol w:w="211"/>
      </w:tblGrid>
      <w:tr>
        <w:trPr/>
        <w:tc>
          <w:tcPr>
            <w:tcW w:w="61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vAlign w:val="center"/>
          </w:tcPr>
          <w:p>
            <w:pPr>
              <w:pStyle w:val="TableContents"/>
              <w:bidi w:val="0"/>
              <w:spacing w:before="0" w:after="283"/>
              <w:jc w:val="center"/>
              <w:rPr/>
            </w:pPr>
            <w:r>
              <w:rPr/>
              <w:t> </w:t>
            </w:r>
          </w:p>
        </w:tc>
        <w:tc>
          <w:tcPr>
            <w:tcW w:w="209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6151" w:type="dxa"/>
            <w:tcBorders/>
            <w:shd w:fill="FFFFFF" w:val="clear"/>
            <w:vAlign w:val="center"/>
          </w:tcPr>
          <w:p>
            <w:pPr>
              <w:pStyle w:val="TableContents"/>
              <w:bidi w:val="0"/>
              <w:spacing w:before="0" w:after="283"/>
              <w:jc w:val="center"/>
              <w:rPr/>
            </w:pPr>
            <w:r>
              <w:rPr/>
              <w:t> </w:t>
            </w:r>
          </w:p>
        </w:tc>
        <w:tc>
          <w:tcPr>
            <w:tcW w:w="2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vAlign w:val="center"/>
          </w:tcPr>
          <w:p>
            <w:pPr>
              <w:pStyle w:val="TableContents"/>
              <w:bidi w:val="0"/>
              <w:spacing w:before="0" w:after="283"/>
              <w:jc w:val="center"/>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Labafenogene marselecobac (SYNB1934)</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w:t>
            </w:r>
          </w:p>
        </w:tc>
        <w:tc>
          <w:tcPr>
            <w:tcW w:w="17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SYNB1618</w:t>
            </w:r>
          </w:p>
        </w:tc>
        <w:tc>
          <w:tcPr>
            <w:tcW w:w="22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SYNB8802</w:t>
            </w:r>
          </w:p>
        </w:tc>
        <w:tc>
          <w:tcPr>
            <w:tcW w:w="22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SYNB1353</w:t>
            </w:r>
          </w:p>
        </w:tc>
        <w:tc>
          <w:tcPr>
            <w:tcW w:w="22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17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SYNB1891</w:t>
            </w:r>
          </w:p>
        </w:tc>
        <w:tc>
          <w:tcPr>
            <w:tcW w:w="22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color w:val="000000"/>
              </w:rPr>
            </w:pPr>
            <w:r>
              <w:rPr>
                <w:color w:val="000000"/>
              </w:rPr>
              <w:t>—</w:t>
            </w:r>
          </w:p>
        </w:tc>
        <w:tc>
          <w:tcPr>
            <w:tcW w:w="17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shd w:fill="CFF0FC"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pre-development candidate costs and unallocated costs</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external costs</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Internal costs:</w:t>
            </w:r>
          </w:p>
        </w:tc>
        <w:tc>
          <w:tcPr>
            <w:tcW w:w="828" w:type="dxa"/>
            <w:gridSpan w:val="2"/>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3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compensation and benefits (including equity-based compensation expense)</w:t>
            </w:r>
          </w:p>
        </w:tc>
        <w:tc>
          <w:tcPr>
            <w:tcW w:w="22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7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Facility and other</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Total internal costs</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9,164</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decrease in research and development expense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external research and development costs of $10.3 million, which primarily consisted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$5.5 million decrease in clinical, manufacturing and professional costs associated with Labafenogene marselecobac (SYNB1934), SYNB8802 (achieved proof of concept in 2022), SYNB1353 (demonstrated proof of mechanism in 2022) and SYNB1891 (completed enrollment in November 2021). The decision to discontinue Synpheny-3, our pivotal study of our lead product candidate, labafenogene marselecobac (SYNB1934), as a potential treatment for PKU, was made in February 2024. Due to this decision, our estimate of the amount of clinical and manufacturing expenses we had incurred was revised, which resulted in a benefit of $0.6 million upon reversal of the accrual;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 million decrease in clinical, manufacturing and professional costs associated with SYNB1618 (earlier generation for Labafenogene marselecobac). During the nine months ended September 30, 2024, we completed the final reconciliation of the SYNB1618 Phase 2 Synpheny-1 study with the contract research organization (CRO) which resulted in a benefit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$3.8 million decrease in other early development candidates and unallocated costs; and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$14.3 million decrease in internal research and development costs, which was primarily driven by the corporate restructuring and reduction in its workforce by more than 90%.</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was $5.2 million for the nine months ended September 30, 2024, compared to $11.3 million for the corresponding period in 2023. The decrease was primarily due to lower compensation, benefits and other employee-related expenses due to reduced headcount and decreased professional services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and Other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and its board of directors decided to discontinue the Synpheny-3 trial and to conduct a comprehensive review of strategic alternatives. We also announced a corporate restructuring that resulted in a reduction in our workforce by more than 90%, leaving a core team of individuals to lead the strategic review process. As a result of this decision, restructuring and other charges were $24.8 million for the nine months ended September 30, 2024. The restructuring charges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primarily due to impairment charges related to our leases, property and equipment, and prepaid research and development, severance expense relating to the reduction in workforce, and accelerated stock compensation expense. The restructuring charges were offset by gains resulting from the lease termination and the sale of property and equipment.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was $16.5 million for the nine months ended September 30, 2024, compared to $1.8 million for the corresponding period in 2023. The increase in other income of $14.7 million was primarily related to the change in fair value of the purchase warrants classified as liabilities on the consolidated balance sheet.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losses since our inception on March 14, 2014 and, as of September 30, 2024, we had an accumulated deficit of $440.9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prior collaborations, interest earned on investments, and cash received in the Merger. At September 30, 2024, we had $19.4 million in cash and cash equivalents. Our cash and cash equivalents include amounts held in money market funds, stated at cost plus unrealized gain and loss, which approximates fair market value. During the nine months ended September 30, 2024 our available-for-sale securities include amounts held in commercial paper.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30, 2024, our cash, cash equivalents and short-term marketable securities balance decreased by $28.3 million. This decrease was primarily due to the cash used to operate our business. In February 2024, we implemented a strategic reduction of our workforce by over 90%. In the nine months ended September 30, 2024, we recorded restructuring charges and impairment charges in connection with the restructuring.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major sources and uses of cash, cash equivalents and restricted cash for each of the periods below:</w:t>
      </w:r>
    </w:p>
    <w:tbl>
      <w:tblPr>
        <w:tblW w:w="8632" w:type="dxa"/>
        <w:jc w:val="left"/>
        <w:tblInd w:w="0" w:type="dxa"/>
        <w:tblLayout w:type="fixed"/>
        <w:tblCellMar>
          <w:top w:w="28" w:type="dxa"/>
          <w:left w:w="28" w:type="dxa"/>
          <w:bottom w:w="28" w:type="dxa"/>
          <w:right w:w="28" w:type="dxa"/>
        </w:tblCellMar>
      </w:tblPr>
      <w:tblGrid>
        <w:gridCol w:w="5581"/>
        <w:gridCol w:w="146"/>
        <w:gridCol w:w="248"/>
        <w:gridCol w:w="866"/>
        <w:gridCol w:w="195"/>
        <w:gridCol w:w="171"/>
        <w:gridCol w:w="248"/>
        <w:gridCol w:w="866"/>
        <w:gridCol w:w="311"/>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5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vAlign w:val="center"/>
          </w:tcPr>
          <w:p>
            <w:pPr>
              <w:pStyle w:val="TableContents"/>
              <w:bidi w:val="0"/>
              <w:spacing w:before="0" w:after="283"/>
              <w:jc w:val="center"/>
              <w:rPr/>
            </w:pPr>
            <w:r>
              <w:rPr/>
              <w:t> </w:t>
            </w:r>
          </w:p>
        </w:tc>
      </w:tr>
      <w:tr>
        <w:trPr/>
        <w:tc>
          <w:tcPr>
            <w:tcW w:w="5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provided by (used in)</w:t>
            </w:r>
          </w:p>
        </w:tc>
        <w:tc>
          <w:tcPr>
            <w:tcW w:w="146" w:type="dxa"/>
            <w:tcBorders/>
            <w:shd w:fill="CFF0FC" w:val="clear"/>
            <w:vAlign w:val="center"/>
          </w:tcPr>
          <w:p>
            <w:pPr>
              <w:pStyle w:val="TableContents"/>
              <w:bidi w:val="0"/>
              <w:spacing w:before="0" w:after="283"/>
              <w:jc w:val="center"/>
              <w:rPr/>
            </w:pPr>
            <w:r>
              <w:rPr/>
              <w:t> </w:t>
            </w:r>
          </w:p>
        </w:tc>
        <w:tc>
          <w:tcPr>
            <w:tcW w:w="1114" w:type="dxa"/>
            <w:gridSpan w:val="2"/>
            <w:tcBorders/>
            <w:shd w:fill="CFF0FC" w:val="clear"/>
            <w:vAlign w:val="center"/>
          </w:tcPr>
          <w:p>
            <w:pPr>
              <w:pStyle w:val="TableContents"/>
              <w:bidi w:val="0"/>
              <w:spacing w:before="0" w:after="283"/>
              <w:jc w:val="center"/>
              <w:rPr/>
            </w:pPr>
            <w:r>
              <w:rPr/>
              <w:t> </w:t>
            </w:r>
          </w:p>
        </w:tc>
        <w:tc>
          <w:tcPr>
            <w:tcW w:w="195" w:type="dxa"/>
            <w:tcBorders/>
            <w:shd w:fill="CFF0FC" w:val="clear"/>
            <w:vAlign w:val="center"/>
          </w:tcPr>
          <w:p>
            <w:pPr>
              <w:pStyle w:val="TableContents"/>
              <w:bidi w:val="0"/>
              <w:spacing w:before="0" w:after="283"/>
              <w:jc w:val="center"/>
              <w:rPr/>
            </w:pPr>
            <w:r>
              <w:rPr/>
              <w:t> </w:t>
            </w:r>
          </w:p>
        </w:tc>
        <w:tc>
          <w:tcPr>
            <w:tcW w:w="171" w:type="dxa"/>
            <w:tcBorders/>
            <w:shd w:fill="CFF0FC" w:val="clear"/>
            <w:vAlign w:val="center"/>
          </w:tcPr>
          <w:p>
            <w:pPr>
              <w:pStyle w:val="TableContents"/>
              <w:bidi w:val="0"/>
              <w:spacing w:before="0" w:after="283"/>
              <w:jc w:val="center"/>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55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(31,090</w:t>
            </w:r>
          </w:p>
        </w:tc>
        <w:tc>
          <w:tcPr>
            <w:tcW w:w="1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center"/>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center"/>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25,309</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center"/>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5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center"/>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center"/>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Cash Flows from 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cash equivalents and restricted cash used in operating activities was $31.1 million for the nine months ended September 30, 2024. The primary use of cash was our net loss of $22.6 million, changes in our assets and liabilities of $12.4 million, partially offset by $3.9 million of non-cash items primarily including the change in fair value of purchase warrants, impairment of fixed assets and the right of use asset, gain on lease termination, impairment of prepaid research and development balances related to work with Ginkgo, equity-based compensation, and gain on disposal of property and equipment. The changes in our assets and liabilities include decreases in prepaid expenses and other current assets, prepaid research and development expenses, the operating lease liability, and accounts payable and accrued expenses. Net cash, cash equivalents and restricted cash used in operating activities for the last remaining quarter of the fiscal year ending December 31, 2024 is expected to be significantly lower than the amount reported for the nine months ended September 30, 2024, primarily due to the discontinuation of the Synpheny-3 trial and the reduction in workforce.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cash equivalents and restricted cash used in operating activities was approximately $46.1 million for the nine months ended September 30, 2023. The primary use of cash was our net loss of $42.7 million, changes in our assets and liabilities of $8.9 million, partially offset by $5.5 million of non-cash items primarily including depreciation, equity-based compensation, and the right of use asset. The changes in our assets and liabilities include increases in prepaid research and development expenses, increases in prepaid expenses and other current assets, and decreases in the operating lease liability, accounts payable and accrued expenses, and deferred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nine months ended September 30, 2024 was $25.3 million and resulted primarily from the proceeds from maturity of marketable securities of $25.5 million and $1.3 million from sales of property and equipment. This was offset by the purchases of marketable securities of $1.5 million, and the purchases of property and equipment of $0.01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nine months ended September 30, 2023 was $53.4 million and resulted primarily from the proceeds from maturity of marketable securities of $62.4 million. This was offset by the purchases of marketable securities of $8.8 million and of property and equipment of $0.2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nine months ended September 30, 2024 totaled $0.2 million, primarily related to proceeds from exercise of stock options and net proceeds from the sale of our common stock in the ATM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nine months ended September 30, 2023 totaled $1.4 million, primarily related to net proceeds of $1.2 million from the sale of our common stock in the ATM offering program and $0.2 million from ESPP contributions.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expect our expenses to decrease in the near term due to our decision to discontinue our Synpheny-3 clinical trial and conduct workforce reductions while we explore strategic alternatives. Pending the outcome of our review of strategic alternatives, and should we decide to continue to advance the clinical development of our product candidates, we expect to incur additional costs in connection with such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generated revenue from our prior collaboration with Roche and other collaborations, but have not generated any product revenue since our inception and do not expect to generate any product revenue unless we receive regulatory approval for our product candidates. We believe that our current cash and cash equivalents as of September 30, 2024 will be sufficient to fund our operations at the current levels for at least the next 12 months from the date of this filing.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funding requirements will depend on many factors,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success, timing and cost of any strategic transactions, business combinations or divestiture;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costs and results of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costs involved in obtaining regulatory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and costs involved in developing manufacturing processes and agreements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and cost of our commercialization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expenses we incur in marketing and selling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generated by sales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or complementary technological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additional collaborative, licensing or other arrangements that we may establish;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 of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implement additional infrastructure and internal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need to add personnel and financial and management information systems to support our product development and potential future commercialization efforts, and to enable us to operate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business is adversely impacted by the effects of the coronavirus outbreak or by other health epidemics or pandemics;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Part I, Item 1A. “Risk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Commitments and Obligations</w:t>
      </w:r>
    </w:p>
    <w:p>
      <w:pPr>
        <w:pStyle w:val="TextBody"/>
        <w:bidi w:val="0"/>
        <w:spacing w:before="120" w:after="283"/>
        <w:jc w:val="left"/>
        <w:rPr>
          <w:rFonts w:ascii="Times New Roman" w:hAnsi="Times New Roman"/>
          <w:sz w:val="20"/>
        </w:rPr>
      </w:pPr>
      <w:r>
        <w:rPr>
          <w:rFonts w:ascii="Times New Roman" w:hAnsi="Times New Roman"/>
          <w:color w:val="000000"/>
          <w:sz w:val="20"/>
        </w:rPr>
        <w:t>Other than the Termination Agreement as explained in Note 8, there have been no material changes to our contractual obligations and commitments set forth under the heading “</w:t>
      </w:r>
      <w:r>
        <w:rPr>
          <w:rFonts w:ascii="Times New Roman" w:hAnsi="Times New Roman"/>
          <w:i/>
          <w:color w:val="000000"/>
          <w:sz w:val="20"/>
        </w:rPr>
        <w:t>Management’s Discussion and Analysis of Financial Condition and Results of Operations - Contractual Obligations and Commitments”</w:t>
      </w:r>
      <w:r>
        <w:rPr>
          <w:rFonts w:ascii="Times New Roman" w:hAnsi="Times New Roman"/>
          <w:color w:val="000000"/>
          <w:sz w:val="20"/>
        </w:rPr>
        <w:t xml:space="preserve"> in our 2023 Annual Report.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left"/>
        <w:rPr>
          <w:rFonts w:ascii="Times New Roman" w:hAnsi="Times New Roman"/>
          <w:sz w:val="20"/>
        </w:rPr>
      </w:pPr>
      <w:r>
        <w:rPr>
          <w:rFonts w:ascii="Times New Roman" w:hAnsi="Times New Roman"/>
          <w:color w:val="000000"/>
          <w:sz w:val="20"/>
        </w:rPr>
        <w:t>For a description of transactions with related parties which may fall outside of the reporting period of this section, please see the section entitled “</w:t>
      </w:r>
      <w:r>
        <w:rPr>
          <w:rFonts w:ascii="Times New Roman" w:hAnsi="Times New Roman"/>
          <w:i/>
          <w:color w:val="000000"/>
          <w:sz w:val="20"/>
        </w:rPr>
        <w:t>Certain Relationships and Related Person Transactions”</w:t>
      </w:r>
      <w:r>
        <w:rPr>
          <w:rFonts w:ascii="Times New Roman" w:hAnsi="Times New Roman"/>
          <w:color w:val="000000"/>
          <w:sz w:val="20"/>
        </w:rPr>
        <w:t xml:space="preserve"> in Amendment No. 1 to our 2023 Annual Report on Form 10-K/A filed with the SEC on April 29,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detailed information regarding recently issued accounting pronouncements and the expected impact on our consolidated financial statements, see Note 2, </w:t>
      </w:r>
      <w:r>
        <w:rPr>
          <w:rFonts w:ascii="Times New Roman" w:hAnsi="Times New Roman"/>
          <w:i/>
          <w:color w:val="000000"/>
          <w:sz w:val="20"/>
        </w:rPr>
        <w:t>Summary of</w:t>
      </w:r>
      <w:r>
        <w:rPr>
          <w:rFonts w:ascii="Times New Roman" w:hAnsi="Times New Roman"/>
          <w:color w:val="000000"/>
          <w:sz w:val="20"/>
        </w:rPr>
        <w:t xml:space="preserve"> </w:t>
      </w:r>
      <w:r>
        <w:rPr>
          <w:rFonts w:ascii="Times New Roman" w:hAnsi="Times New Roman"/>
          <w:i/>
          <w:color w:val="000000"/>
          <w:sz w:val="20"/>
        </w:rPr>
        <w:t>Significant Accounting Policies</w:t>
      </w:r>
      <w:r>
        <w:rPr>
          <w:rFonts w:ascii="Times New Roman" w:hAnsi="Times New Roman"/>
          <w:color w:val="000000"/>
          <w:sz w:val="20"/>
        </w:rPr>
        <w:t xml:space="preserve"> in the notes to the unaudited consolidated financial statements appearing elsewhere in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3quantitativeandqualitativedis"/>
      <w:bookmarkEnd w:id="8"/>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Rule 12b-2 of the Exchange Act and are not required to provide this information required under this item. </w:t>
      </w:r>
    </w:p>
    <w:p>
      <w:pPr>
        <w:pStyle w:val="TextBody"/>
        <w:bidi w:val="0"/>
        <w:spacing w:before="360" w:after="283"/>
        <w:jc w:val="left"/>
        <w:rPr>
          <w:rFonts w:ascii="Times New Roman" w:hAnsi="Times New Roman"/>
          <w:sz w:val="20"/>
        </w:rPr>
      </w:pPr>
      <w:bookmarkStart w:id="9" w:name="item4controlsandprocedures"/>
      <w:bookmarkEnd w:id="9"/>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Definition and limitations of disclosure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disclosure controls and procedures (as defined in Rules 13a-15(e) and 15d-15(e) under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officer and principal financial officer, evaluated the effectiveness of our disclosure controls and procedures (as defined in Exchange Act Rules 13a-15(e) and 15d-15(e)) as of the end of the period covered by this Form 10-Q. Based on that evaluation it was determined due to the material weakness described below, our disclosure controls and procedures were not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preparing our condensed consolidated financial statements, management identified a material weakness in internal control over financial reporting. Specifically, we did not design an effective internal information and communication process relating to significant and non-routine transactions to ensure that relevant and reliable information was communicated on a timely basis across the organization, to enable financial personnel to effectively carry out their financial reporting and internal control roles and responsibilities. The failure, relating to significant and non-routine transactions, resulted in a misstatement of our warrant liabilities, transaction costs, change in fair value of warrant liabilities, additional paid-in-capital, accumulated deficit and certain related financial disclosures. This material weakness resulted in the correction of our consolidated financial statements as of and for the year ended December 31, 2023, and for the quarterly periods ended March 31, 2024 and June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below, management has begun designing the plan and executing the remediation actions to address the material weakness and further actions are ongoing as of September 30, 2024. We have not had sufficient time to test the effectiveness of the remediation actions taken to date. As a result, the material weakness continues to be present as of September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Remediation Efforts related to the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with oversight from the Audit Committee of the Board of Directors, is actively engaged in remediation efforts to address the material weakness identified in the management's evaluation of internal controls and procedures. The remediation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summarized below, which have been or are in the process of being implemented, are intended to address the identified material weakness, and include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strengthening our formal accounting policies, procedures and controls over accounting for significant and non-routine transactions with a focus on ensuring the analysis is complete and includes each of the material components of the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 oversight procedures, including the requirement of multiple finance staff to attend any and all meetings regarding significant and non-routine transactions;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 review procedures, requiring review of all documents pertaining to significant and non-routine transactions by a secondary finance staff member.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believes that the implementation of the above steps will facilitate the remediation of the material weakness identified above. As Management continues to evaluate and work to improve its internal control over financial reporting, we may take additional measures to address control deficiencies, or we may modify certain of the remediation measures described above. While remediation efforts are active, management requires additional time to demonstrate the operating effectiveness of our remediation efforts. The material weaknesses cannot be considered remediated until the applicable remedial controls operate for a sufficient period of time and management has concluded, through testing, that these controls are operating effectively.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the changes in connection with implementing a plan to remediate the material weakness described above, there have not been any changes in our internal controls over financial reporting (as defined in Rules 13a-15(f) and 15d-15(f) under the Exchange Act) identified in connection with the evaluation of such internal control that occurred during our fiscal quarter ended September 30, 2024 that have materially affected, or are reasonably likely to materially affect, our internal controls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II – 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0" w:name="item_1_legal_proceedings"/>
      <w:bookmarkEnd w:id="10"/>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1" w:name="item_1a_risk_factors"/>
      <w:bookmarkEnd w:id="11"/>
      <w:r>
        <w:rPr>
          <w:rFonts w:ascii="Times New Roman" w:hAnsi="Times New Roman"/>
          <w:b/>
          <w:color w:val="000000"/>
          <w:sz w:val="20"/>
        </w:rPr>
        <w:t>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pStyle w:val="TextBody"/>
        <w:bidi w:val="0"/>
        <w:spacing w:before="240" w:after="283"/>
        <w:jc w:val="left"/>
        <w:rPr>
          <w:rFonts w:ascii="Times New Roman" w:hAnsi="Times New Roman"/>
          <w:color w:val="000000"/>
          <w:sz w:val="20"/>
        </w:rPr>
      </w:pPr>
      <w:bookmarkStart w:id="12" w:name="d390888d424b3_htm_toc390888_30"/>
      <w:bookmarkStart w:id="13" w:name="d390888d424b3_htm_toc390888_25"/>
      <w:bookmarkEnd w:id="12"/>
      <w:bookmarkEnd w:id="13"/>
      <w:r>
        <w:rPr>
          <w:rFonts w:ascii="Times New Roman" w:hAnsi="Times New Roman"/>
          <w:color w:val="000000"/>
          <w:sz w:val="20"/>
        </w:rPr>
        <w:t>In the following discussion of risk factors, References to “we”, “us”, “our” and similar terms refer to the combined business of Synlogic, Inc. after the Merger on August 28, 2017.</w:t>
      </w:r>
    </w:p>
    <w:p>
      <w:pPr>
        <w:pStyle w:val="TextBody"/>
        <w:bidi w:val="0"/>
        <w:jc w:val="left"/>
        <w:rPr/>
      </w:pPr>
      <w:bookmarkStart w:id="14" w:name="eolpage60"/>
      <w:bookmarkEnd w:id="14"/>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to date has been almost entirely dependent on the success of SYNB1934, and we have decided to discontinue further development of SYNB1934 and devote significant time and resources to identifying and evaluating strategic alternatives, which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with a history of losses, and we expect to continue to incur losses for the foreseeable future, and we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funding, which may not be available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in the future. As a result, we may fail to meet the expectations of research analysts or investors, which could cause our stock price to decline.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is volatile, and our stockholders may not be able to resell shares of our common stock at or above the price they paid.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short operating history may make it difficult for stockholders to evaluate the success of our business to date and to assess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are costly, time consuming and inherently risky, and we may fail to demonstrate safety and efficacy to the satisfaction of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approach we are taking to discover and develop novel therapeutics using synthetic biology to create novel medicines is unproven and may never lead to marketable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undesirable side effects or have other properties that could delay or prevent their regulatory approval, limit the commercial viability of an approved label, or result in significant negative consequences following marketing approval, if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development involves a lengthy and expensive process with an uncertain outcome, and results of earlier preclinical studies and clinical trials may not be predictive of future clinical trial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delays or difficulties in the enrollment of patients in clinical trials, our costs might be higher than expected and our receipt of necessary regulatory approvals could be delayed or prevented.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pandemic, epidemic, or outbreak of an infectious disease, such as COVID-19, or geopolitical tensions, such as the armed conflict between Russia and Ukraine, or the conflict in the Middle East, may materially and adversely affect our business and our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directly or indirectly, to federal and state healthcare fraud and abuse laws, false claims laws, and health information privacy and security laws. If we are unable to comply, or have not fully complied, with such laws, we could face substantial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comply with environmental, health and safety laws and regulations, we could become subject to fines or penalties or incur costs that could have a material adverse effect on our business, financial condition or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or those of our collaborators or other contractors or consultants, may fail or suffer security breaches, which could result in a material disruption of our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Ethical, legal and social concerns about synthetic biology and genetic engineering could limit or prevent the use of our technologies and limit our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obtaining or maintaining necessary rights to Synthetic Biotics, product candidates and processes for our development pipeline through acquisitions and in-licenses.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sufficient patent term protections for our product candidates to effectively protect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maintain effective proprietary rights for our product candidates or any future product candidates, we may not be able to compete effectively in our proposed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claims of intellectual property infringement may prevent or delay our development and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involved in lawsuits to protect or enforce our patents or the patents of our licensors, which could be expensive, time consuming, and unsuccessful.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challenging the inventorship of our patents and other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protect our intellectual property rights throughout the world.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relied on and may in the future rely, on third parties to conduct some aspects of our product formulation, research, preclinical, and clinical studies, and those third parties may not perform satisfactorily, including by failing to meet deadlines for the completion of such formulation, research or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relied on and may in the future rely on third-party supply and manufacturing partners for drug supplies for our late-stage clinical activities and may do the same for any commercial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attempt to form collaborations in the future with respect to our product candidates, but we may not be able to do so, which may cause us to alter our development and commercialization plans.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identified a material weakness in our internal control over financial reporting as of September 30, 2024, due to to an ineffective internal information and communication process related to significant and non-routine transactions, to ensure that relevant and reliable information was communicated on a timely basis across the organization, to enable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personnel to effectively carry out their financial reporting and internal control roles and responsibilities. If we are not able to remediate this material weakness, or if we experience additional material weaknesses or other deficiencies in our internal control over financial reporting in the future or otherwise fail to maintain an effective system of internal control over financial reporting, we may not be able to accurately or timely report our financial results or prevent fraud, and we may conclude that our internal control over financial reporting is not effective, which may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stockholders and management own a significant percentage of our stock and are able to exert significant control over matters subject to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of our charter documents or Delaware law could delay or prevent an acquisition of us, even if the acquisition would be beneficial to our stockholders and could make it more difficult for you to change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comply with the continued listing requirements of the Nasdaq Capital Market, our common stock may be delisted and the price of our common stock and our ability to access the capital markets could be negatively impacted.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Evaluation of Strategic Alternatives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business to date has been significantly dependent on the success of</w:t>
      </w:r>
      <w:r>
        <w:rPr>
          <w:rFonts w:ascii="Times New Roman" w:hAnsi="Times New Roman"/>
          <w:color w:val="000000"/>
          <w:sz w:val="20"/>
        </w:rPr>
        <w:t xml:space="preserve"> </w:t>
      </w:r>
      <w:r>
        <w:rPr>
          <w:rFonts w:ascii="Times New Roman" w:hAnsi="Times New Roman"/>
          <w:b/>
          <w:i/>
          <w:color w:val="000000"/>
          <w:sz w:val="20"/>
        </w:rPr>
        <w:t>SYNB1934, and we have decided to discontinue further development of SYNB1934 and devote significant time and resources to identifying and evaluating strategic alternatives, which may not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invested significant efforts and financial resources in the research and development of SYNB1934, which was our lead product candidate in clinical trials.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Beginning in February 2024, we started to reduce operating expenses while we evaluate our strategic alternatives with a goal to enhance stockholder value, including the possibility of a merger or sale of the Company. There can be no assurance that our process to identify and evaluate potential strategic alternatives will result in any definitive offer to consummate a strategic transaction, or if made what the terms thereof will be or that any transaction will be approved or consummated.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our company and/or assets, that is consummated would enhance shareholder value. There also can be no assurance that we will conduct further drug research or development activities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such strategic transaction may require us to incur non-recurring or other charges, may increase our near-and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substantial debt or dilutive issuances of equity securities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higher-than-expected acquisition and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write-downs of assets or goodwill or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and cost in combining the operations and personnel of any acquired businesses with our operations and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relationships with key suppliers or customers of any acquired businesses due to changes in management and ownership;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retain key employees of our company or any acquired businesses.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successfully consummate a strategic transaction,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the process to identify a strategic transaction will result in a successfully consummated transaction. If no transaction is completed, our board of directors may decide to pursue a dissolution and liquidation of our company. In such an event, the amount of cash available for distribution to our stockholders will depend heavily on the timing of such decision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ultimately, such liquidation, since the amount of cash available for distribution continues to decrease as we fund our operations while we evaluate our strategic alternatives. In addition, if our board of directors were to approve and recommend, and our stockholders were to approve, a dissolution and liquidation of our company, we would be required under Delaware corporate law to pay our outstanding obligations, as well as to make reasonable provision for contingent and unknown obligations, prior to making any distributions in liquidation to our stockholders. Our commitments and contingent liabilities may include (i) obligations under our employment and related agreements with certain employees that provide for severance and other payments following a termination of employment occurring for various reasons, including a change in control of our company; and (ii) potential litigation against us, and other various claims and legal actions arising in the ordinary course of business.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liquidation, dissolution or winding up of our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Financial Condition, Capital Requirements and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biopharmaceutical company with a history of losses, and we expect to continue to incur losses for the foreseeable future, and we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developing Synthetic Biotics and we have incurred significant operating losses since our inception. As of September 30, 2024, we had an accumulated deficit of approximately $440.9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substantial additional funding, which may not be available on acceptable terms,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 </w:t>
      </w:r>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and annual operating results may fluctuate in the future. As a result, we may fail to meet the expectations of research analysts or investors, which could cause our stock price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and maintain Synthetic Biotic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outcomes of research programs, clinical trials, or other product development and approval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accurately report our financial results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and the need to attract and retain, key management and other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protect and enforce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prevent the theft or misappropriation of our intellectual property, know-how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milestones with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advantages that our competitors and potential competitors may have in securing funding or developing competing technologies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additional capital that may be necessary to expand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macro-economic factors outside of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various factors mentioned above, and others, the results of any prior quarterly or annual periods should not be relied upon as indications of our future operating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Our stock price is volatile, and our stockholders may not be able to resell shares of our common stock at or above the price they paid.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trading price of our common stock is highly volatile and could be subject to wide fluctuations in response to various factors, some of which are beyond our control, such as reports by industry analysts, investor perceptions, general industry trends, macro-economic conditions</w:t>
      </w:r>
      <w:r>
        <w:rPr>
          <w:rFonts w:ascii="Times New Roman" w:hAnsi="Times New Roman"/>
          <w:color w:val="000000"/>
          <w:sz w:val="20"/>
          <w:u w:val="single"/>
        </w:rPr>
        <w:t>,</w:t>
      </w:r>
      <w:r>
        <w:rPr>
          <w:rFonts w:ascii="Times New Roman" w:hAnsi="Times New Roman"/>
          <w:color w:val="000000"/>
          <w:sz w:val="20"/>
        </w:rPr>
        <w:t xml:space="preserve"> or negative announcements by other companies involving similar technologies or diseases. These factors also include those discussed in this “Risk Factors” section of this Quarterly Report on Form 10-Q and others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relating to collaborations that we may enter into with respect to the development or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relating to the receipt, modification or termination of government contracts or grants;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or delay of a development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liability claims related to our clinical trials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Prevailing economic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Perspectives on synthetic biology and genetic engineering;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Perspectives on the programs of competitors</w:t>
      </w:r>
      <w:r>
        <w:rPr>
          <w:rFonts w:ascii="Times New Roman" w:hAnsi="Times New Roman"/>
          <w:color w:val="000000"/>
          <w:sz w:val="20"/>
          <w:u w:val="single"/>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disruptions caused by natural disasters;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concerning our intellectual property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or other U.S. or foreign regulatory actions affecting us or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the company, our executive officers and directors or our stockholders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or issuances of equity or debt securities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Lack of an active, liquid and orderly market in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our quarterly operating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new or changed securities analysts’ reports or recommendations regarding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short operating history may make it difficult for stockholders to evaluate the success of our business to date and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biopharmaceutical company with a limited operating history. We commenced active operations in 2014. Our operations to date have been limited to organizing and staffing our company, research and development activities, business planning and raising capital. In February 2024, we voluntarily halted Synpheny-3 based on results of an internal review in advance of an upcoming independent Data Monitoring Committee (DMC) assessment, which indicated the trial was unlikely to meet its primary endpoint. The decision was not based on concerns regarding safety or tolerability.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(the FDIC) as receiver. Similarly, on March 12, 2023, Signature Bank and Silvergate Capital Corp. were each swept into receivership and on May 1, 2023, First Republic Bank was swept into receivership. Although a statement by the Department of the Treasury, the Federal Reserve and the FDIC stated that all depositors of SVB would have access to all of their money after only one business day of closure, including funds held in uninsured deposit accounts, uncertainty remains over liquidity concerns in the broader financial services industry. Similar impacts have occurred in the past, such as during the 2008-2010 financial crisis.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review our banking relationships as we believe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delayed access to deposits or other financial assets or the uninsured loss of deposits or other financial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access to working capital 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or actual breach of contractual obligations that require us to maintain letters or credit or other credit support arrangements;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of cash management arrangements and/or delays in accessing or actual loss of funds subject to cash management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Development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trials are costly, time consuming and inherently risky, and we may fail to demonstrate safety and efficacy to the satisfaction of applicable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 Events that may prevent successful or timely completion of clinical development of our product candidates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satisfactory preclinical or other nonclinical data, including,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or diagnostics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institutional review board approval at each clinical trial site;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permit the conduct of a clinical trial by regulatory authorities, after review of an investigational new drug or equivalent foreign application or amendment;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recruiting qualified patients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clinical sites or CROs or other third parties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us, clinical sites, CROs or other third parties to perform in accordance with the good clinical practices requirements of the FDA or applicable foreign regulatory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dropping out of the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unacceptable side effects or toxicity issues associated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by the FDA of a clinical hold or the requirement by other similar regulatory agencies that one or more clinical trials be delayed or halted;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or performing additional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ultimate affordability of the cost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inability to successfully complete clinical development and obtain regulatory approval for our product candidates could result in additional costs to us or impair our ability to raise additional capital or generate revenue. In addition, if we make manufacturing or formulation changes to our product candidates, we may need to conduct additional nonclinical studies and/or clinical trials, the results obtained from such new formulation may not be consistent with previous results obtained, or the regulatory authorities may need to further review and approve our process before we can proceed.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The approach we are taking to discover and develop novel therapeutics using synthetic biology to create novel medicines is unproven and may never lead to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 Additionally, the FDA or other regulatory authorities may lack experience in evaluating the safety and efficacy of novel product candidates based on synthetic biology, which could result in a longer than expected regulatory review process, increase our expected development costs and delay or prevent commercialization of our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Our Synthetic Biotic product candidates are based on a relatively novel technology, which makes it difficult to predict the time and cost of development and of subsequently obtaining regulatory approval,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concentrated our research and development efforts to date on a limited number of product candidates based on our Synthetic Biotic therapeutic platform.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clinical trial and manufacturing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EMA or national regulatory agencies may not be indicative of what the FDA, and vice versa, may require for approval and different or additional nonclinical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our efforts to use and expand our development platform to build a pipeline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key element of our strategy is to create Synthetic Biotics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even if one or more of our product candidates receives marketing approval, and we or others later identify undesirable side effects caused by such products,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or revoke licenses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labels of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conduct additional clinical trials or costly post-marketing testing and surveillance to monitor the safety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a product candidate, even if approved, and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by their nature use a sample of the potential patient population. However, with a limited number of patients and limited duration of exposure, we cannot be fully assured that uncommon or severe side effects of our product candidates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obtain or maintain orphan drug exclusivity for some of our products, our competitors may obtain approval to sell competing drugs to treat the same conditions and our revenues will be reduced.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our business strategy, we have developed and may in the future develop product candidates that may be eligible for FDA and European Commission orphan drug designation. In May 2023, the FDA granted orphan drug designation to labafenogene marselecobac (SYNB1934)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the extent and scope of patent protection for some of our product candidates may be limited, obtaining orphan drug exclusivity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though we have obtained orphan drug designation for some of our product candidates and intend to seek orphan drug designation for other product candidates, there is no assurance that we will be the first to obtain marketing approval for any particular orphan indication. Further, even though we have obtained orphan drug designation for certain of our product candidates, or even if we obtain orphan drug designation for other potential product candidates, and obtain approval for such products, orphan product exclusivity may not effectively protect us from competition because different drugs can be approved for the same condition and the same drug can be approved for different conditions and potentially used off-label in the orphan indication. In addition,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 </w:t>
      </w:r>
    </w:p>
    <w:p>
      <w:pPr>
        <w:pStyle w:val="TextBody"/>
        <w:bidi w:val="0"/>
        <w:spacing w:before="2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seek a Rare Pediatric Disease Designation, or RPDD, for one or more of our product candidates. However, a BLA for one or more of our product candidates may not meet the eligibility criteria for a priority review voucher upon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2023, labafenogene marselecobac received RPDD (Rare Pediatric Drug Designation) for phenylketonuria and in December 2022, SYNB1353 received RPDD for homocystinuria. 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 or conditions within the meaning of the Orphan Drug Act. The FDA may determine that a BLA for one or more of our product candidates does not meet the eligibility criteria for a priority review voucher upon approval. Moreover, due to the current statutory authority for the RPDD and voucher program, the FDA may not award the voucher to sponsors of marketing applications unless either (i) the drug has received rare pediatric disease designation as of September 30, 2024, and is then approved by the FDA no later than September 30, 2026; or (ii) Congress reauthorizes the program. Even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legislation is enacted that extends the date by which approval of the rare pediatric disease-designated drug must obtain approval to receive a priority review voucher, we may not obtain approval by that date, and even if we do, we may not obtain a priority review voucher.</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development involves a lengthy and expensive process with an uncertain outcome, and results of earlier preclinical studies and clinical trials may not be predictive of future clinical trial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experience delays or difficulties in the enrollment of patients in clinical trials, our costs might be higher than expected and our receipt of necessary regulatory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local or global health emergencies.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the clinical trial administration practices of the contract research organization (CRO) or clinical trial sites, labor shortages at the CRO or clinical trial sites, benefits and convenience of administration of the product candidate being studied, the patient referral practices of physicians, the amount of attention provided to our trial by clinical trial sites, our efforts and the CRO efforts,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If we, or any third parties that we engage to assist us, are unable to successfully identify patients with these diseases, or experience delays in doing so, then we may not realize the full commercial potential of any product candidate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Congress also recently amended the FDCA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For any future Phase 3 trials we plan to conduct, we must submit a diversity action plan to the FDA by the time we submit plans for such Phase 3, or pivotal study, protocol to the agency for review as part of an IND, unless we are able to obtain a waiver for some or all of the requirements for a diversity action plan. It is unknown at this time how the diversity action plan may affect the planning and timing of any future Phase 3 trial for our product candidates or what specific information FDA will expect in such plans. However, initiation of such trials may be delayed if the FDA objects to our proposed diversity action plans for any future Phase 3 trial for our product candidates, and we may experience difficulties recruiting a diverse population of patients in attempting to fulfill the requirements of any approved diversity action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Interim “</w:t>
      </w:r>
      <w:r>
        <w:rPr>
          <w:rFonts w:ascii="Times New Roman" w:hAnsi="Times New Roman"/>
          <w:color w:val="000000"/>
          <w:sz w:val="20"/>
        </w:rPr>
        <w:t xml:space="preserve"> </w:t>
      </w:r>
      <w:r>
        <w:rPr>
          <w:rFonts w:ascii="Times New Roman" w:hAnsi="Times New Roman"/>
          <w:b/>
          <w:i/>
          <w:color w:val="000000"/>
          <w:sz w:val="20"/>
        </w:rPr>
        <w:t>top-line” and preliminary data from our clinical trials that we announce or publish from time to time may change as more patient data become available and are subject to audit and verification procedures that could result in material changes in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that we previously published. As a result, top-line and preliminary data should be viewed with caution until final data are available. Adverse differences between interim data and final data could significantly harm our business prospects. For example, in February 2024, we voluntarily halted Synpheny-3 based on results of an internal review in advance of an upcoming independent DMC assessment, which indicated the trial was unlikely to meet its primary endpoint. The decision was not based on concerns regarding safety or tolerability. Further, disclosure of interim data by us or by our competitors could result in volatility in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have product liability insurance, which covers any clinical trial we may conduct in the United States or internationally,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 of dangers inherent in the product, negligence, strict liability, and a breach of warranties. Claims could also be asserted under state consumer protection acts. Any product liability claim brought against us, with or without merit, could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volunteers, investigators, patients or trial sites or limitations on approved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or if commercialized, decreased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commercialized, product recalls, withdrawals of labeling, marketing or promotional restrictions or the need for product modification;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costs of litigation, including monetary awards to patients or other claimants;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that substantially exceed our product liability insurance, which we would then be required to pay ourselves;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our product liability insurance rates or the inability to maintain insurance coverage in the future on acceptable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management’s attention from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key employees;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our reputation and the reputation of our products and our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liability claims may subject us to the foregoing and other risks, which could have a material adverse effect on our business, financial condition or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upon which we depend may be adversely affected by natural disasters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A pandemic, epidemic, or outbreak of an infectious disease, such as COVID-19, or geopolitical tensions, such as the armed conflict between Russia and Ukraine, or the conflict in the Middle East,</w:t>
      </w:r>
      <w:r>
        <w:rPr>
          <w:rFonts w:ascii="Times New Roman" w:hAnsi="Times New Roman"/>
          <w:color w:val="000000"/>
          <w:sz w:val="20"/>
        </w:rPr>
        <w:t xml:space="preserve"> </w:t>
      </w:r>
      <w:r>
        <w:rPr>
          <w:rFonts w:ascii="Times New Roman" w:hAnsi="Times New Roman"/>
          <w:b/>
          <w:i/>
          <w:color w:val="000000"/>
          <w:sz w:val="20"/>
        </w:rPr>
        <w:t>may materially and adversely affect our business and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the past several years, COVID-19 has affected segments of the global economy and it may materially affect our operations again, including potentially significant interruption of our clinical trial activities. In addition, there could be a continuing effect of COVID-19 to the business at FDA or other health authorities, which could result in delays of reviews and approvals, including with respect to our product candidates. The COVID-19 pandemic, including surges in cases,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COVID-19 may also affect employees of third-party contract research organizations and contract manufacturing organizations located in affected geographies that we rely upon to carry out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potential economic impact brought by and the duration of COVID-19 may be difficult to assess or predict, a widespread pandemic could result in significant disruption of global financial markets, potentially reducing our ability to access capital, which could in the future negatively affect our liquidity. Similarly, the current conflicts between Ukraine and Russia and in the Middle East have created extreme volatility in the global capital markets and is expected to have further global economic consequences, including disruptions of the global supply chain and energy markets. In addition, we have previously announced our intention to open a clinical trial site in Israel and this could be impacted by the events in the Middle East. A recession or market correction resulting from the continued spread of COVID-19 or the geopolitical tensions in Russia and Ukraine, and in the Middle East, could materially affect our business and the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Regulatory Approval of Our Product Candidates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other comparable foreign regulatory authorities that our product candidates are safe, pure and potent or effective for their proposed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other comparable foreign regulatory authorities in order to support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BLA, to the FDA or other equivalent marketing authorization application submissions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review of our clinical trial sites and data, the FDA or comparable foreign regulatory authorities may find our record keeping or the record keeping of our clinical trial sites or investigators to be inadequate;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other comparable foreign regulatory authorities or the laws they enforce may significantly change in a manner rendering our clinical data insufficient for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landscape related to clinical trials in the European Union (EU) recently evolved. The EU Clinical Trials Regulation (CTR) which was adopted in April 2014 and repeals the EU Clinical Trials Directive, became applicable on January 31, 2022. The CTR introduced a centralized process and only requires the submission of a single application to all member states concerned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or CTIS. Once the CTA is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study development may proceed. The extent to which ongoing and new clinical trials will be governed by the CTR varies. Clinical trials for which an application was submitted (i) prior to January 31, 2022 under the Clinical Trials Directive, which the CTR replaced, or (ii) between January 31, 2022 and January 31, 2023 and for which the sponsor has opted for the application of the Clinical Trials Directive remain governed by said Directive until January 31, 2025. After this date, all clinical trials, including those that are ongoing, will become subject to the provisions of the CTR. Compliance with the CTR requirements by us, our collaborators and third-party service providers, such as CROs, may impact our development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A drug or biologic designated as breakthrough therapies by the FDA could also be eligible for accelerated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received Fast Track designation for three of our product candidates and may seek such designation for one or more of our other product candidates, but we might not receive such designation, and even if we do, such designation may not actually lead to a faster development or regulatory review or approval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is intended for the treatment of a serious condition and nonclinical or clinical data demonstrate the potential to address unmet medical need for the condition, a product sponsor may apply for Fast Track designation. We were awarded Fast track designation for SYNB1618 (an earlier generation of SYNB1934:labafenogene marselecobac) in April 2018, for labofenogene marselecobac in July 2023, and for SYNB1353 in August 2022.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regulatory approval for a product candidate, we will remain subject to ongoing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manufacturers will be subject to continual review and inspections to assess compliance with cGMP and adherence to commitments made in any BLA or marketing authorization application.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ensure compliance. If our original marketing approval for a product candidate were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untitled or warning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 or revoke a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of our current and future product candidates in one jurisdiction does not mean that we will be successful in obtaining marketing approval of our current and future therapeutic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FDA and other comparable ex-U.S. regulatory authorities may not accept data from trials conducted in locations outside of their jurisdiction.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choose to conduct international clinical trials in the future. The acceptance of study data by the FDA or other comparable ex-U.S. regulatory authority from clinical trials conducted outside of their respective jurisdictions may be subject to certain conditions. The acceptance of study data from clinical trials conducted outside the United States or another jurisdiction by the FDA or comparable ex-U.S. regulatory authority may be subject to certain conditions or may not be accepted at all. In cases where data from ex-U.S. clinical trials are intended to serve as the sole basis for marketing approval in the United States, the FDA will generally not approve the application on the basis of ex-U.S. data alone unless (i) the data are applicable to the U.S. population and U.S. medical practice; (ii) the trials were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Furthermore, even where the ex-U.S.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ex-U.S. regulatory authorities have similar approval requirements. In addition, such ex-U.S. trials would be subject to the applicable local laws of the ex-U.S. jurisdictions where the trials are conducted. There can be no assurance that the FDA or any comparable ex-U.S. regulatory authority will accept data from trials conducted outside of its applicable jurisdiction. If the FDA or any comparable ex-U.S. regulatory authority does not accept such data, it would result in the need for additional trials.</w:t>
      </w:r>
    </w:p>
    <w:p>
      <w:pPr>
        <w:pStyle w:val="TextBody"/>
        <w:bidi w:val="0"/>
        <w:spacing w:before="360" w:after="283"/>
        <w:jc w:val="left"/>
        <w:rPr>
          <w:rFonts w:ascii="Times New Roman" w:hAnsi="Times New Roman"/>
          <w:sz w:val="20"/>
        </w:rPr>
      </w:pPr>
      <w:r>
        <w:rPr>
          <w:rFonts w:ascii="Times New Roman" w:hAnsi="Times New Roman"/>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increases in workload, and statutory, regulatory, and policy changes. Average review times at the agency have fluctuated in recent years as a result. In 2023, for example, members of Congress wrote to officials at the FDA expressing their concern that clinical holds should not be a means for FDA to gain additional time to review a clinical protocol.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The coronavirus pandemic has also adversely affected the operations of necessary government agencies.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In addition, competing demands from other companies or issues can affect the timeliness for which the FDA can review and process our regulatory submissions.</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legislative reform measures may have a material adverse effect on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legislative and regulatory changes under the ACA remain possible, although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directly negotiate drug prices, and changes stemming from other healthcare reform measures, especially with regard to healthcare access, financing or other legislation in individual states, could have a material adverse effect on the healthcare industry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Most recently, in August 2022, President Biden signed into the law the Inflation Reduction Act of 2022, or the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Additional state and federal healthcare reform measures are expected to be adopted in the future, any of which could limit the amounts that federal and state governments will pay for healthcare products and services, which could result in reduced demand for certain biopharmaceutical products or additional pricing pressures.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addition, in the last few years, several states have formed prescription drug affordability boards (PDABs) with the authority to implement upper payment limits (UPLs) on drugs sold in their respective jurisdictions. However, there are several pending federal lawsuits challenging the authority of states to impose UPLs.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2020, the U.S. Supreme Court also held unanimously that federal law does not preempt the states’ ability to regulate pharmaceutical benefit managers, or PBMs, and other members of the healthcare and pharmaceutical supply chain, an important decision that appears to be leading to further and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Significant efforts to change the PBM industry as it currently exists in the United States may affect the entire pharmaceutical supply chain and the business of other stakeholders, including biopharmaceutical developers like us.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or executive action. We expect that additional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payments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and civil monetary penalty laws, which prohibit, among other things, individuals or entities from knowingly presenting, or causing to be presented, claims for payment from Medicare, Medicaid, or other government payors that are false or fraudulent or making a false statement to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which created new federal criminal statutes that prohibit executing a scheme to defraud any healthcare benefit program and making false statements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and Clinical Health Act, and its implementing regulations, which imposes specified requirements relating to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requirements under the ACA require manufacturers of drugs, devices, biologics, and medical supplies to report annually to CMS information related to payments and other transfers of value to physicians, certain advanced non-physician healthcare providers, and teaching hospitals, and ownership and investment interests held by physicians and other healthcare providers and their immediate family members;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be subject to challenge under one or more of such laws. In addition, recent healthcare reform legislation has strengthened these laws. For example, the ACA, among other things, amended the intent requirement of the federal anti-kickback and criminal healthcare fraud statutes. A person or entity no longer needs to have actual knowledge of this statute or specific intent to violate it. Moreover, the ACA provides that the U.S. government may assert that a claim including items or services resulting from a violation of the federal anti-kickback statute constitutes a false or fraudulent claim for purposes of the False Claims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ability to operate our business and our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or may in the future become subject to, U.S. federal and state, and international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many activities, including the conduct of clinical trials, we are subject to domestic and international laws and regulations governing data privacy, data security, and the protection of health-related and other personal information. The regulatory framework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collecting, using, safeguarding, sharing, transferring and other processing of personal information worldwide is rapidly evolving and in recent years there has been an increasing focus on privacy and data security issues with the potential to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numerous federal and state laws and regulations, including state data breach notification laws, and federal and state consumer protection laws govern the collection, use, disclosure and protection of health-related and other personal information. Failure to comply with data protection laws and regulations, where applicable, could result in government enforcement actions, which could include civil or criminal penalties, private litigation and/or adverse publicity and could negatively affect our operating results and business. For example, California enacted the California Consumer Privacy Act (the CCPA), which took effect on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in 2020, California voters passed the California Privacy Rights Act (the CPRA), which became effective as of January 1, 2023. The CPRA significantly amends the CCPA and imposes additional data protection obligations on companies doing business in California, including additional consumer rights processes, limitations on data uses, new audit requirements for higher risk data, and opt outs for certain uses of sensitive data. It also creates a new regulatory entity, the California Privacy Protection Agency, which is authorized to issue substantive regulations under the CPRA and could result in increased privacy and information security enforcement. Although the CCPA currently exempts certain health-related information, including clinical trial data, the CCPA and the CPRA may increase our compliance costs and potential liability. In addition to California, more U.S. states are enacting similar legislation, increasing compliance complexity and increasing risks of failures to comply. In 2023 and 2024, comprehensive privacy laws in Virginia, Colorado, Connecticut, Utah, Montana, Oregon, and Texas all took effect. In addition, laws in other U.S. states are set to take effect beyond 2024, and additional U.S. states have proposals under consideration, all of which are likely to increase our regulatory compliance costs and risks, exposure to regulatory enforcement action and other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collection, use, disclosure, transfer, or other processing of personal data in the European Union, including personal health data, is subject to the General Data Protection Regulation, or GDPR, which took effect in 2018 and applies to companies within and outside of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enhances enforcement authority and imposes large penalties for noncompliance, including the potential for fines of up to €20 million or 4% of the annual global revenues of the infringer, whichever is greater. Additionally, the GDPR confers a private right of action on data subjects and consumer associations to lodge complaints with supervisory authorities, seek judicial remedies, and obtain compensation for damages resulting from violations of the GDPR. In addition, the withdrawal of the United Kingdom from the European Union and the subsequent separation of the data protection regimes of these territories mean we are required to also comply with similar data protection laws in the United Kingdom, which may lead to additional compliance costs and could increase our overall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in the European Economic Area (EEA), Switzerland, and the UK on data export are also evolving. For example, the GDPR only permits exports of data outside the EU where there is a suitable data transfer solution in place to safeguard personal data (e.g. the EU Commission approved Standard Contractual Clauses or certification under the recently-adopted Data Privacy Framework). If we have to rely on third parties to carry out services for us, including processing personal data on our behalf, we are required under GDPR and similar laws in Switzerland and the UK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Future actions of EU, Swiss, and UK data protection authorities are difficult to predict. Some customers or other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international,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international data protection laws. These laws and regulations are increasing in complexity and number, may change frequently and sometimes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states have implemented similar laws protecting identifiable health and personal information, and most such laws differ from each other in significant ways and may not be preempted by HIPAA,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interpretation and application of consumer, health-related, and data protection laws are often uncertain, contradictory, and in flux.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legislative and regulatory landscape for privacy and data security continues to evolve, and there has been an increasing focus on privacy and data security issues which may affect our business. Despite our efforts, we may not have fully complied in the past and may not in the future.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 </w:t>
      </w:r>
    </w:p>
    <w:p>
      <w:pPr>
        <w:pStyle w:val="TextBody"/>
        <w:bidi w:val="0"/>
        <w:spacing w:before="340" w:after="283"/>
        <w:jc w:val="left"/>
        <w:rPr>
          <w:rFonts w:ascii="Times New Roman" w:hAnsi="Times New Roman"/>
          <w:sz w:val="20"/>
        </w:rPr>
      </w:pPr>
      <w:r>
        <w:rPr>
          <w:rFonts w:ascii="Times New Roman" w:hAnsi="Times New Roman"/>
          <w:b/>
          <w:i/>
          <w:color w:val="000000"/>
          <w:sz w:val="20"/>
        </w:rPr>
        <w:t>Laws and regulations governing international operations may preclude us from developing, manufacturing and selling certain products outside of the United States and require us to develop, implement and maintain costly compliance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the FCPA is expensive and difficult, particularly in countries in which corruption is a recognized problem. In addition, the FCPA presents particular challenges in the pharmaceutical industry, because, in many countries, hospitals are operated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systems, or those of our collaborators or other contractors or consultants, may fail or suffer cybersecurity incidents, which could result in a material disruption of our product development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internal information technology, or IT, systems and those of our current and any future collaborators and other contractors, consultants, or clinical trial sites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phishing and other means to affect service reliability and threaten the confidentiality, integrity and availability of information and IT systems.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cybersecurity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The market perception of the effectiveness of our security measures could be harmed and our reputation and credibility could be damaged. Although we develop and maintain systems and controls designed to prevent these events from occurring, and we have processes to identify and mitigate threats, the development and maintenance of these systems, controls and processes is costly and requires ongoing monitoring and updating as technologies evolve and efforts to overcome security measures become increasingly sophisticated. Moreover, despite our efforts, the possibility of these events occurring cannot be eliminated entirely. In addition, there can be no assurance that we will promptly detect any such disruption or cybersecurity incident, if at all.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IT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cybersecurity incident, industrial espionage attacks or insider threat attacks which could result in financial, legal, business or reputational harm, as well as loss of competitive advantage or loss of consumer confidence. </w:t>
      </w:r>
    </w:p>
    <w:p>
      <w:pPr>
        <w:pStyle w:val="TextBody"/>
        <w:bidi w:val="0"/>
        <w:spacing w:before="360" w:after="283"/>
        <w:jc w:val="left"/>
        <w:rPr>
          <w:rFonts w:ascii="Times New Roman" w:hAnsi="Times New Roman"/>
          <w:sz w:val="20"/>
        </w:rPr>
      </w:pPr>
      <w:r>
        <w:rPr>
          <w:rFonts w:ascii="Times New Roman" w:hAnsi="Times New Roman"/>
          <w:b/>
          <w:i/>
          <w:color w:val="000000"/>
          <w:sz w:val="20"/>
        </w:rPr>
        <w:t>Ethical, legal and social concerns about synthetic biology and genetic engineering could limit or prevent the use of our technologies and limit our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Biotics, delays or other impediments to our programs or the public acceptance and commercialization of Synthetic Biotics. Further, there is a risk that Synthetic Biotics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successful in obtaining or maintaining necessary rights to Synthetic Biotics, product candidates and processes for our development pipeline through acquisitions and in-licenses.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intellectual property rights to other parties, potentially blocking our ability to pursue our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being issued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is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have sufficient patent term protections for our product candidates to effectively protect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U.S. and foreign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European patent practice is expected to change now that the European Unitary Patent (UP) and Unified Patent Court (UPC) went into force on June 1, 2023. The new system will impact both pending European applications and granted European patents, and uncertainty remains about long-term implications of this change. The UPC may particularly present uncertainties for our ability to protect and enforce our patent rights against competitors in Europe. While the UPC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the UPC. We will have the right to opt our patents out of the UPC system over the first seven years, but doing so may preclude us from realizing the benefits of the new unified court.</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on any issued patents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properly legalize and submit formal documents. In any such event, our competitors might be able to enter the market, which would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maintain effective proprietary rights for our product candidates or any future product candidates, we may not be able to compete effectively in our proposed markets.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 </w:t>
      </w:r>
    </w:p>
    <w:p>
      <w:pPr>
        <w:pStyle w:val="TextBody"/>
        <w:bidi w:val="0"/>
        <w:spacing w:before="360" w:after="283"/>
        <w:jc w:val="left"/>
        <w:rPr>
          <w:rFonts w:ascii="Times New Roman" w:hAnsi="Times New Roman"/>
          <w:sz w:val="20"/>
        </w:rPr>
      </w:pPr>
      <w:r>
        <w:rPr>
          <w:rFonts w:ascii="Times New Roman" w:hAnsi="Times New Roman"/>
          <w:b/>
          <w:i/>
          <w:color w:val="000000"/>
          <w:sz w:val="20"/>
        </w:rPr>
        <w:t>Third-party claims of intellectual property infringement may prevent or delay our development and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biology. We may become aware of U.S. and foreign patents and pending patent applications owned by third parties that cover similar therapeutic uses as the product candidates we are developing and we may in the future pursue available proceedings in the U.S. and foreign patent offices to challenge the validity of such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in part, on our licensors to file, prosecute, maintain, defend and enforce patents and patent applications that are material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certain intellectual property license agreements and may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patents or the patents of our licensors,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w:t>
      </w:r>
      <w:r>
        <w:rPr>
          <w:rFonts w:ascii="Times New Roman" w:hAnsi="Times New Roman"/>
          <w:i/>
          <w:color w:val="000000"/>
          <w:sz w:val="20"/>
        </w:rPr>
        <w:t xml:space="preserve">inter partes </w:t>
      </w:r>
      <w:r>
        <w:rPr>
          <w:rFonts w:ascii="Times New Roman" w:hAnsi="Times New Roman"/>
          <w:color w:val="000000"/>
          <w:sz w:val="20"/>
        </w:rPr>
        <w:t xml:space="preserve">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Europe's Unified Patent Court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Some of our intellectual property may be subject to federal regulations such as “march-in” rights, certain reporting requirements and a preference for U.S.-based companies if it is determined that our intellectual property has been discovered through government-funded programs.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intellectual property rights we have acquired or licensed or may acquire or license in the future may have been generated through the use of U.S. government funding and may therefore be subject to certain federal regulations.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relating to such intellectual property. To the extent any of our future intellectual property is also generated through the use of U.S. government funding, the provisions of the Bayh-Dole Act may similarly apply.</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historically relied on and may in the future rely on third parties to conduct some aspects of our product formulation, research, preclinical, and clinical studies, and those third parties may not perform satisfactorily, including by failing to meet deadlines for the completion of such formulation,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relied on and may in the future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have historically relied on and may in the future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any third-party contractors and CROs we engage will be required to comply with GLP, as applicable, and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that we engage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clinical investigators may serve as scientific advisors or consultants to us from time to time and may receive cash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therapeutic product candidates it may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historically relied on and may in the future rely on third-party supply and manufacturing partners for drug supplies for our late-stage clinical activities and may do the same for any commercial supplies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relied on and may in the future rely on third-party supply and manufacturing partners to supply the materials and components to manufacture parts of the process of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effective, or in an amount that satisfies our commercial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Synthetic Biotics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Although our agreements with our suppliers and manufacturers require them to perform according to certain cGMP requirements such as those relating to quality control, quality assurance and qualified personnel, we have limited control over their conduct to implement and maintain these standards.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suppliers and manufacturers are subject to inspection and approval by regulatory authorities before we can commence the manufacture and sale of any of our product candidates, and thereafter are subject to ongoing inspection from time to time.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supplies of our products. Any such failure by us or any of our suppliers or manufacturers would significantly impact our ability to develop, obtain regulatory approval for or, if approved,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reasonable terms, we may not be able to develop and commercialize our product candidates successfully. Our or a third-party’s failure to execute on our manufacturing requirements could adversely affect our business in a number of ways,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initiate or continue clinical trials of product candidates under development, which may impact our potential economic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in submitting regulatory applications, or receiving regulatory approvals, for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the cooperation of a collaborator;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Subjecting our product candidates to additional inspections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cease distribution or to recall batches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approval to market and commercialize a product candidate, an inability to meet commercial demands for our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To the extent we are able to enter into collaborative arrangements or strategic alliances, we may be exposed to risks related to those collaborations and alliances.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Dependence on collaborative arrangements or strategic alliances would subject us to a number of risks, including the risk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control the amount and timing of resources that our collaborators may devote to the relevant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collaborators may experience financial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relinquish important rights, such as marketing and distribution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combinations or significant changes in a collaborator’s business strategy may also adversely affect a collaborator’s willingness or ability to complete our obligations under any arrangement;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could independently move forward with a competing drug candidate developed either independently or in collaboration with others, including our competitors;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Collaborative arrangements are often terminated or allowed to expire, which would delay the development and may increase the cost of developing our drug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attempt to form collaborations in the future with respect to our product candidates, but we may not be able to do so, which may cause us to alter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the macro-economic conditions may disfavor a collaboration, and/or third parties may not view our product candidates and programs as having sufficient potential for commercialization, including the likelihood of an adequate safety and efficacy profile.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face substantial competition and our competitors may discover, develop or commercialize products faster or more successfully than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candidates, we are also aware of several companies that are also working specifically to develop engineered bacteria as cellular drug therapies. Further there are several companies working to develop other similar products. Third-party payors, including governmental and private insurers, may also encourage the use of generic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competitors obtain marketing approval from the FDA or comparable foreign regulatory authorities for their product candidates more rapidly than us, it could result in our competitors establishing a strong market position before we are able to enter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have historically focused and may in the future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of our current or future product candidates will depend upon the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with approvals from the FDA and comparable foreign regulatory authorities, the commercial success of our products will depend in part on the healthcare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of the product as demonstrated in clinical trials and potential advantages over competing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safety and side effect profile of the product as demonstrated in clinical trials and potential advantages over competing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the disease targeted;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approval is granted,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patients and physicians to accept products engineered from bacteria and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ratio of risk and benefit of these therapies by physicians, patients, and payers, and the willingness of physicians to recommend these therapies to patients based on such risks and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marketing, sales and distribution support for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publicity concerning the products or competing products and treatments;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and availability of third-party insurance coverage and reimbursement.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healthcare providers, we will not be able to generate sufficient revenue to become or remain profitable.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any efforts to identify, license, discover, develop, or commercialize additional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is expected to depend largely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or business development methodology or search criteria and process may be unsuccessful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or willing to assemble sufficient resources to acquire or discover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not succeed in preclinical 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product candidates may be shown to have harmful side effects or may have other characteristics that may make the products unmarketable or unlikely to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during development or commercialization so that such a product may become unreasonable to continue to develop or commercialize;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obtain or maintain adequate reimbursement or insurance coverage for products, if any,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is significant uncertainty related to the insurance coverage and reimbursement for newly approved products. In the United States, the principal decisions about coverage and reimbursement for new drugs are typically made by CMS, an agency within DHHS,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 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on prescription drugs has increased and is expected to continue to increase in the future. As a result, profitability of our products, if any, may be more difficult to achieve even if they receive regulatory approval.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future product candidates for which we obtain approval may face competition sooner than anticipated.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are successful in achieving regulatory approval to commercialize a product candidate ahead of our competitors, our product candidates may face competition from biosimilar products. In the United States, Synthetic Biotic products are expected to be regulated by the FDA as biological products and we intend to seek approval for these product candidates pursuant to the BLA pathway. The BPCIA created an abbreviated pathway for FDA approval of biosimilar and interchangeable biological products based on a previously licensed reference product. Under the BPCIA, an application for a biosimilar biological product cannot be approved by the FDA until 12 years after the original reference biological product was approved under a BLA. The law is complex and is still being interpreted and implemented by the FDA. As a result, its ultimate impact, implementation, and meaning are subject to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any of our product candidates approved as a biological product under a BLA should qualify for the 12-year period of exclusivity available to reference biological products. However, there is a risk that this exclusivity could be shortened due to congressional action or otherwise, or that the FDA will not consider our product candidates to be reference biological products pursuant to its interpretation of the exclusivity provisions of the BPCIA for competing products, potentially creating the opportunity for generic follow-on biosimilar competition sooner than anticipated. Moreover, the extent to which a biosimilar product, once approved, will be substituted for any one of our reference products in a way that is similar to traditional generic substitution for non-biological products is not yet clear, and will depend on a number of marketplace and regulatory factors that are still developing including whether a future competitor seeks an interchangeability designation for a biosimilar of one of our products. Under the BPCIA as well as state pharmacy laws, only interchangeable biosimilar products are considered substitutable for the reference biological product without the intervention of the healthcare provider who prescribed the original biological product. However, as with all prescribing decisions made in the context of a patient-provider relationship and a patient’s specific medical needs, healthcare providers are not restricted from prescribing biosimilar products in an off-label manner. In addition, a competitor could decide to forego the abbreviated approval pathway available for biosimilar products and to submit a full BLA for product licensure after completing its own preclinical studies and clinical trials. In such a situation, any exclusivity to which we may be eligible under the BPCIA would not prevent the competitor from marketing its biological product as soon as it is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CREATES Act established a private cause of action that permits a follow-on product developer to sue the brand manufacturer to compel it to furnish necessary samples of a reference product on “commercially reasonable, market-based terms.” If follow-on product developers request samples of any product candidates for which we receive marketing approval in order to conduct comparative testing to support one or more applications for a follow-on version of our products, and we refuse any such request, we may be subject to litigation under the CREATES Act. Although lawsuits have been filed under the CREATES Act since its enactment, those lawsuits have settled privately; therefore, to date, no federal court has reviewed or opined on the statutory language and there continues to be uncertainty regarding the scope and application of the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Europe, the European Commission has granted marketing authorizations for several biosimilar products pursuant to a set of general and product class-specific guidelines for biosimilar approvals issued over the past few years. In addition, companies may be developing biosimilar products in other countries that could compete with our products,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competitors are able to obtain marketing approval for biosimilars referencing our product candidates, if approved, our future products may become subject to competition from such biosimilars, whether or not they are designated as interchangeable, with the attendant competitive pressure and potential adverse consequences. Such competitive products may be able to immediately compete with us in each indication for which our product candidates may have received approval.</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Operations and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failure to attract and retain senior management and key scientific personnel may prevent us from successfully developing our product candidates or any future product candidate, conducting our clinical trials and commercializing any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attract, retain and motivate highly qualified management, clinical and scientific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principal investigators, CROs, consultants and collaborators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identified a material weakness in our internal control over financial reporting as of September 30, 2024, due to to an ineffective internal information and communication process related to significant and non-routine transactions to ensure that relevant and reliable information was communicated on a timely basis across the organization, to enable financial personnel to effectively carry out their financial reporting and internal control roles and responsibilities. If we are not able to remediate this material weakness, or if we experience additional material weaknesses or other deficiencies in our internal control over financial reporting in the future or otherwise fail to maintain an effective system of internal control over financial reporting, we may not be able to accurately or timely report our financial results or prevent fraud, and we may conclude that our internal control over financial reporting is not effective, which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is designed to prevent fraud. Any failure to maintain or implement required new or improved controls, or difficulties encountered in implementation could cause us to fail to meet our reporting obligations. In addition, any testing by us, as and when required, conducted in connection with Section 404 of the Sarbanes-Oxley Act, or Section 404, or any testing by our independent registered public accounting firm may reveal deficiencies in our internal control over financial reporting that are deemed to be material weaknesses or that may require prospective or retroactive changes to our consolidated financial statements or identify other areas for further attention or improvement.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disclosed in this Quarterly Report on Form 10-Q, we identified a material weakness in our internal control over financial reporting as of September 30, 2024.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Specifically, our management concluded that we did not have an effective internal information and communication process to ensure that relevant and reliable information was communicated on a timely basis across the organization, to enable financial personnel to effectively carry out their financial reporting and internal control roles and responsibilities. The failure, relating to significant and non-routine transactions, resulted in a misstatement of our warrant liabilities, transaction costs, change in fair value of warrant liabilities, additional paid-in-capital, accumulated deficit and certain related financial disclosures. This material weakness resulted in the correction of our consolidated financial statements as of and for the year ended December 31, 2023, and for the quarterly periods ended March 31, 2024 and June 30, 2024. For further discussion of the material weakness, see Part I, 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taken and plan to continue to take actions to remediate this material weakness, including (i) strengthening our formal accounting policies, procedures and controls over accounting for significant and non-routine transactions with a focus on ensuring the analysis is complete and includes each of the material components of the transaction; (ii) specific oversight procedures, including the requirement of multiple finance staff to attend any and all meetings regarding significant and non-routine transactions; and (iii) specific review procedures, requiring review of all documents pertaining to significant and non-routine transactions by a secondary finance staff member. However, we cannot provide assurance that we will be able to correct this material weakness in a timely manner or that our remediation efforts will be adequate to allow us to conclude that our internal control over financial reporting will be effective in the future. Even if this material weakness is remediated in the future, we could identify additional material weaknesses or deficiencies in our internal control over financial reporting that could require correction or remediation.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conclusion that we have a material weakness could give rise to increased scrutiny, review, audit and investigation over our accounting controls and procedures, which could then lead to additional areas of deficiency or errors in our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continue to dedicate internal resources, engage outside consultants and maintain a detailed work plan to assess and document the adequacy of internal control over financial reporting, continue steps to remediate the material weakness relating to our internal information and communication process described above relating to significant and non-routine transactions, and any future control deficiencies or material weaknesses, and improve control processes as appropriate, validate through testing that controls are functioning as documented and maintain a continuous reporting and improvement process for internal control over financial reporting. If we are not able to correct material weaknesses or deficiencies in internal controls in a timely manner or otherwise comply with the requirements of Section 404 in a timely manner, our ability to record, process, summarize and report financial information accurately and within applicable time periods may be adversely affected, and we could be subject to sanctions or investigations by the SEC, the Nasdaq Stock Market or other regulatory authorities as well as stockholder litigation which, even if resolved in our favor, would require additional financial and management resources and could adversely affect the market price of our common stock. 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fraud, our business and results of operations could be harmed. Inferior internal controls could also cause investors to lose confidence in our reported financial information, which could have a negative effect on the trading price of our common stock and could also affect our ability to raise capital to fund future business initiatives.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principal stockholders own a significant percentage of our stock and are able to exert significant control over matters subject to stockholder approval.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beneficial ownership of our common stock as of November 5, 2024, our directors, together with holders of 5% or more of our common stock outstanding and their respective affiliates, beneficially own the majority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largest stockholders have significant influence over us, including influence over decisions that require the approval of stockholders, which could limit our stockholders’ ability to influence the outcome of key transactions, including a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November 5, 2024, affiliates of Cable Car Capital LLC (“Cable Car”) and New Enterprise Associates 14, L.P. (“NEA 14”) owned approximately 28% and 25% of our outstanding common stock, respectively. Although we are not a “controlled company” within the meaning of the corporate governance standards of the New York Stock Exchange, affiliates of Cable Car and NEA 14 are able to significantly influence our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Cable Car’s and NEA 14’s interests may not align with the interests of our other stockholders. Both Cable Car and NEA 14 may make investments in companies and may acquire and hold interests in businesses that compete directly or indirectly with us. They may also pursue acquisition opportunities that may be complementary to our business, and, as a result, those acquisition opportunities may not be available to us.</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our common stock or securities convertible or exchangeable for our common stock may depress our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November 5, 2024, there were a total of 11,696,109 shares of our common stock outstanding.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and vesting provisions, as applicable.</w:t>
      </w:r>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operating results to be subject to quarterly fluctuations. Our net loss and other operating results will be affected by numerous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the level of our operating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modification or termination of government contracts or grants, and the timing of payments we receive under these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execution of any collaborative, licensing or similar arrangements, and the timing of payments we may make under these arrangements;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intellectual property infringement lawsuit or opposition, interference or cancellation proceeding in which we may become involved.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of our charter documents or Delaware law could delay or prevent an acquisition of us, even if the acquisition would be beneficial to our stockholders and could make it more difficult for you to change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classified board of directors so that not all directors are elected at one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through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our Board of Directors or the resignation, death or removal of a director;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that special meetings of our Stockholders be called only by our Board of Directors, the chairman of our Board of Directors, the chief executive officer or, in the absence of a chief executive officer, the president;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advance notice requirement for stockholder proposals and nominations;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authority of our Board of Directors to issue preferred stock with such terms as our Board of Directors may determine;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of approval of not less than 66 2/3% of all outstanding shares of our capital stock entitled to vote to amend any bylaws by stockholder action, or to amend specific provisions of our certificate of incorporation.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in our charter and other provisions of Delaware law could limit the price that investors are willing to pay in the future for shares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or interpretations of, accounting rules and regulations could result in unfavorable accounting charges or require us to change our compensation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will continue to incur costs as a result of being a public company, and our management will continue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The Sarbanes-Oxley Act of 2002,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fail to comply with the continued listing requirements of the Nasdaq Capital Market, our common stock may be delisted and the price of our common stock and our ability to access the capital markets could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currently listed on the Nasdaq Capital Market and was previously listed on the Nasdaq Global Market. To maintain the listing of our common stock on the Nasdaq Global Market, we were required to satisfy minimum financial and other continued listing requirements and standards, including those related to the price of our common stock. On December 6, 2022, we received a written notice from the Listing Qualifications Department of the Nasdaq Stock Market (Nasdaq) notifying us that, based on the closing bid price of our common stock being below $1.00 per share for 30 consecutive business days, we no longer complied with Nasdaq’s minimum bid price requirement in Listing Rule 5450(a)(1) for continued listing on the Nasdaq Global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Nasdaq Listing Rule 5810(c)(3)(A), we were provided an initial compliance period of 180 calendar days from receipt of the Notice, or until June 5, 2023, to regain compliance with the minimum bid price requirement. To regain compliance, the bid price for our common stock would need to close at $1.00 per share or more for a minimum of 10 consecutive business days during this 180-day grace period, among other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25, 2023, we submitted to the Listing Qualifications Department of Nasdaq an application to transfer the listing of our common stock from The Nasdaq Global Market to The Nasdaq Capital Market. On June 6, 2023, we received a notice (Extension Notice) from the Listing Qualifications Department informing us that Nasdaq granted us an additional 180 calendar days, or until December 4, 2023 to regain compliance with the minimum closing bid price requirement for continued listing on The Nasdaq Capital Market under Nasdaq Marketplace Rule 5550(a)(2). In connection with the Extension Notice, the listing of our common stock was transferred from the Nasdaq Global Market to the Nasdaq Capital Market, effective as of June 7, 2023. The Extension Notice had no other immediate effect on the listing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27, 2023, we implemented a reverse stock split of our shares of common stock, pursuant to which every fifteen (15) shares of our issued and outstanding common stock was automatically converted into one (1) issued and outstanding share of common stock without any change in the par value of $0.001 per share. The reverse stock split was approved by our stockholders on September 21, 2023 at our Special Meeting of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13, 2023, we received a written notice from the Listing Qualifications Department of Nasdaq notifying us that we had regained compliance with Listing Rule 5550(a)(2) and that this matter was closed. However, there can be no assurance that we will comply with the minimum bid price requirement in the future nor, is there any assurance that our common stock would never be delisted from Nasdaq at some future date. If our common stock were to be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 Also, it may be difficult for us to raise additional capital if we are not listed on a major exchange.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September 30, 2024, none of our directors or executive officers adopted, modified or terminated any contract, instruction or written plan for the purchase or sale of our securities that was intended to satisfy the affirmative defense conditions of Rule 10b5-1 (c) or any "non-Rule 10b5-1 trading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00" w:after="283"/>
        <w:jc w:val="center"/>
        <w:rPr>
          <w:rFonts w:ascii="Times New Roman" w:hAnsi="Times New Roman"/>
          <w:sz w:val="20"/>
        </w:rPr>
      </w:pPr>
      <w:bookmarkStart w:id="20" w:name="exhibit_index"/>
      <w:bookmarkEnd w:id="20"/>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5614"/>
        <w:gridCol w:w="146"/>
        <w:gridCol w:w="659"/>
        <w:gridCol w:w="146"/>
        <w:gridCol w:w="1171"/>
        <w:gridCol w:w="146"/>
        <w:gridCol w:w="526"/>
        <w:gridCol w:w="146"/>
        <w:gridCol w:w="762"/>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6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with this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jc w:val="center"/>
              <w:rPr>
                <w:rFonts w:ascii="Times New Roman" w:hAnsi="Times New Roman"/>
                <w:b/>
                <w:color w:val="000000"/>
                <w:sz w:val="16"/>
              </w:rPr>
            </w:pPr>
            <w:r>
              <w:rPr>
                <w:rFonts w:ascii="Times New Roman" w:hAnsi="Times New Roman"/>
                <w:b/>
                <w:color w:val="000000"/>
                <w:sz w:val="16"/>
              </w:rPr>
              <w:t>Reference herein</w:t>
            </w:r>
          </w:p>
          <w:p>
            <w:pPr>
              <w:pStyle w:val="TableContents"/>
              <w:bidi w:val="0"/>
              <w:jc w:val="center"/>
              <w:rPr>
                <w:rFonts w:ascii="Times New Roman" w:hAnsi="Times New Roman"/>
                <w:b/>
                <w:color w:val="000000"/>
                <w:sz w:val="16"/>
              </w:rPr>
            </w:pPr>
            <w:r>
              <w:rPr>
                <w:rFonts w:ascii="Times New Roman" w:hAnsi="Times New Roman"/>
                <w:b/>
                <w:color w:val="000000"/>
                <w:sz w:val="16"/>
              </w:rPr>
              <w:t>from Form 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SEC</w:t>
            </w:r>
          </w:p>
          <w:p>
            <w:pPr>
              <w:pStyle w:val="TableContents"/>
              <w:bidi w:val="0"/>
              <w:jc w:val="center"/>
              <w:rPr>
                <w:rFonts w:ascii="Times New Roman" w:hAnsi="Times New Roman"/>
                <w:b/>
                <w:color w:val="000000"/>
                <w:sz w:val="16"/>
              </w:rPr>
            </w:pPr>
            <w:r>
              <w:rPr>
                <w:rFonts w:ascii="Times New Roman" w:hAnsi="Times New Roman"/>
                <w:b/>
                <w:color w:val="000000"/>
                <w:sz w:val="16"/>
              </w:rPr>
              <w:t>File/Reg.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10.7#</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hyperlink w:anchor="sybx-ex10_7.htm">
              <w:r>
                <w:rPr>
                  <w:rStyle w:val="InternetLink"/>
                  <w:rFonts w:ascii="Times New Roman" w:hAnsi="Times New Roman"/>
                  <w:color w:val="0000FF"/>
                  <w:sz w:val="18"/>
                  <w:u w:val="single"/>
                </w:rPr>
                <w:t>Amendment to Separation Agreement by and between Synlogic, Inc. and Antoine Awad, dated as of February 17, 2024</w:t>
              </w:r>
            </w:hyperlink>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10.8#</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hyperlink w:anchor="sybx-ex10_8.htm">
              <w:r>
                <w:rPr>
                  <w:rStyle w:val="InternetLink"/>
                  <w:rFonts w:ascii="Times New Roman" w:hAnsi="Times New Roman"/>
                  <w:color w:val="0000FF"/>
                  <w:sz w:val="18"/>
                  <w:u w:val="single"/>
                </w:rPr>
                <w:t>Amendment to Retention Bonus Agreement by and between Synlogic, Inc. and Antoine Awad, dated as of March 7, 2024</w:t>
              </w:r>
            </w:hyperlink>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10.9#</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hyperlink w:anchor="sybx-ex10_9.htm">
              <w:r>
                <w:rPr>
                  <w:rStyle w:val="InternetLink"/>
                  <w:rFonts w:ascii="Times New Roman" w:hAnsi="Times New Roman"/>
                  <w:color w:val="0000FF"/>
                  <w:sz w:val="18"/>
                  <w:u w:val="single"/>
                </w:rPr>
                <w:t>Amendment to Separation Agreement by and between Synlogic, Inc. and Mary Beth Dooley, dated as of February 17, 2024</w:t>
              </w:r>
            </w:hyperlink>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10.10#</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hyperlink w:anchor="sybx-ex10_10.htm">
              <w:r>
                <w:rPr>
                  <w:rStyle w:val="InternetLink"/>
                  <w:rFonts w:ascii="Times New Roman" w:hAnsi="Times New Roman"/>
                  <w:color w:val="0000FF"/>
                  <w:sz w:val="18"/>
                  <w:u w:val="single"/>
                </w:rPr>
                <w:t>Amendment to Retention Bonus Agreement by and between Synlogic, Inc. and Mary Beth Dooley, dated as of March 7, 2024</w:t>
              </w:r>
            </w:hyperlink>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31.1</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hyperlink w:anchor="sybx-ex31_1.htm">
              <w:r>
                <w:rPr>
                  <w:rStyle w:val="InternetLink"/>
                  <w:rFonts w:ascii="Times New Roman" w:hAnsi="Times New Roman"/>
                  <w:color w:val="0000FF"/>
                  <w:sz w:val="18"/>
                  <w:u w:val="single"/>
                </w:rPr>
                <w:t>Certification of Chief Executive Officer required by Rule 13a-14(a) or Rule 15d-14(a).</w:t>
              </w:r>
            </w:hyperlink>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31.2</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hyperlink w:anchor="sybx-ex31_2.htm">
              <w:r>
                <w:rPr>
                  <w:rStyle w:val="InternetLink"/>
                  <w:rFonts w:ascii="Times New Roman" w:hAnsi="Times New Roman"/>
                  <w:color w:val="0000FF"/>
                  <w:sz w:val="18"/>
                  <w:u w:val="single"/>
                </w:rPr>
                <w:t>Certification of Interim Chief Financial Officer required by Rule 13a-14(a) or Rule 15d-14(a).</w:t>
              </w:r>
            </w:hyperlink>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32.1*</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hyperlink w:anchor="sybx-ex32_1.htm">
              <w:r>
                <w:rPr>
                  <w:rStyle w:val="InternetLink"/>
                  <w:rFonts w:ascii="Times New Roman" w:hAnsi="Times New Roman"/>
                  <w:color w:val="0000FF"/>
                  <w:sz w:val="18"/>
                  <w:u w:val="single"/>
                </w:rPr>
                <w:t>Certification required by Rule 13a-14(b) or Rule 15d-14(b) and Section 1350 of Chapter 63 of Title 18 of the United States Code (18 U.S.C. §1350).</w:t>
              </w:r>
            </w:hyperlink>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32.2*</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hyperlink w:anchor="sybx-ex32_2.htm">
              <w:r>
                <w:rPr>
                  <w:rStyle w:val="InternetLink"/>
                  <w:rFonts w:ascii="Times New Roman" w:hAnsi="Times New Roman"/>
                  <w:color w:val="0000FF"/>
                  <w:sz w:val="18"/>
                  <w:u w:val="single"/>
                </w:rPr>
                <w:t>Certification required by Rule 13a-14(b) or Rule 15d-14(b) and Section 1350 of Chapter 63 of Title 18 of the United States Code (18 U.S.C. §1350).</w:t>
              </w:r>
            </w:hyperlink>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Date File because XBRL tags are embedded within the Inline XBRL document.</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r>
        <w:trPr/>
        <w:tc>
          <w:tcPr>
            <w:tcW w:w="743"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vAlign w:val="center"/>
          </w:tcPr>
          <w:p>
            <w:pPr>
              <w:pStyle w:val="TableContents"/>
              <w:bidi w:val="0"/>
              <w:spacing w:before="0" w:after="283"/>
              <w:jc w:val="left"/>
              <w:rPr/>
            </w:pPr>
            <w:r>
              <w:rPr/>
              <w:t> </w:t>
            </w:r>
          </w:p>
        </w:tc>
        <w:tc>
          <w:tcPr>
            <w:tcW w:w="561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c>
          <w:tcPr>
            <w:tcW w:w="146" w:type="dxa"/>
            <w:tcBorders/>
            <w:vAlign w:val="center"/>
          </w:tcPr>
          <w:p>
            <w:pPr>
              <w:pStyle w:val="TableContents"/>
              <w:bidi w:val="0"/>
              <w:spacing w:before="0" w:after="283"/>
              <w:jc w:val="center"/>
              <w:rPr/>
            </w:pPr>
            <w:r>
              <w:rPr/>
              <w:t> </w:t>
            </w:r>
          </w:p>
        </w:tc>
        <w:tc>
          <w:tcPr>
            <w:tcW w:w="659"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vAlign w:val="center"/>
          </w:tcPr>
          <w:p>
            <w:pPr>
              <w:pStyle w:val="TableContents"/>
              <w:bidi w:val="0"/>
              <w:spacing w:before="0" w:after="283"/>
              <w:jc w:val="center"/>
              <w:rPr/>
            </w:pPr>
            <w:r>
              <w:rPr/>
              <w:t> </w:t>
            </w:r>
          </w:p>
        </w:tc>
        <w:tc>
          <w:tcPr>
            <w:tcW w:w="1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62" w:type="dxa"/>
            <w:tcBorders/>
            <w:vAlign w:val="center"/>
          </w:tcPr>
          <w:p>
            <w:pPr>
              <w:pStyle w:val="TableContents"/>
              <w:bidi w:val="0"/>
              <w:spacing w:before="0" w:after="283"/>
              <w:jc w:val="center"/>
              <w:rPr/>
            </w:pPr>
            <w:r>
              <w:rPr/>
              <w:t> </w:t>
            </w:r>
          </w:p>
        </w:tc>
      </w:tr>
    </w:tbl>
    <w:p>
      <w:pPr>
        <w:pStyle w:val="TextBody"/>
        <w:pBdr>
          <w:bottom w:val="single" w:sz="6" w:space="1" w:color="000000"/>
        </w:pBdr>
        <w:bidi w:val="0"/>
        <w:spacing w:before="0" w:after="6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Management contract or compensatory plans or arrangements.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2024</w:t>
      </w:r>
    </w:p>
    <w:p>
      <w:pPr>
        <w:pStyle w:val="TextBody"/>
        <w:bidi w:val="0"/>
        <w:jc w:val="left"/>
        <w:rPr/>
      </w:pPr>
      <w:r>
        <w:rPr/>
        <w:t> </w:t>
      </w:r>
    </w:p>
    <w:tbl>
      <w:tblPr>
        <w:tblW w:w="3234" w:type="dxa"/>
        <w:jc w:val="left"/>
        <w:tblInd w:w="0" w:type="dxa"/>
        <w:tblLayout w:type="fixed"/>
        <w:tblCellMar>
          <w:top w:w="28" w:type="dxa"/>
          <w:left w:w="28" w:type="dxa"/>
          <w:bottom w:w="28" w:type="dxa"/>
          <w:right w:w="28" w:type="dxa"/>
        </w:tblCellMar>
      </w:tblPr>
      <w:tblGrid>
        <w:gridCol w:w="161"/>
        <w:gridCol w:w="406"/>
        <w:gridCol w:w="146"/>
        <w:gridCol w:w="252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073"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SYNLOGIC, INC.</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/s/</w:t>
            </w:r>
            <w:r>
              <w:rPr>
                <w:rFonts w:ascii="Times New Roman" w:hAnsi="Times New Roman"/>
                <w:smallCaps/>
                <w:color w:val="000000"/>
                <w:sz w:val="20"/>
              </w:rPr>
              <w:t> ANTOINE AWAD</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Antoine Awad</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(Principal Executive Officer)</w:t>
            </w:r>
          </w:p>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MARY BETH DOOLEY</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Head of Finance</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sybx-ex10_7.htm"/>
      <w:bookmarkStart w:id="23" w:name="kssybxex10_7"/>
      <w:bookmarkEnd w:id="22"/>
      <w:bookmarkEnd w:id="23"/>
      <w:r>
        <w:rPr>
          <w:rFonts w:ascii="Times New Roman" w:hAnsi="Times New Roman"/>
          <w:b/>
          <w:color w:val="000000"/>
          <w:sz w:val="20"/>
        </w:rPr>
        <w:t>Exhibit 10.7</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Synlogic Operating Company, Inc.</w:t>
      </w:r>
    </w:p>
    <w:p>
      <w:pPr>
        <w:pStyle w:val="TextBody"/>
        <w:bidi w:val="0"/>
        <w:jc w:val="center"/>
        <w:rPr>
          <w:rFonts w:ascii="Times New Roman" w:hAnsi="Times New Roman"/>
          <w:color w:val="000000"/>
          <w:sz w:val="22"/>
        </w:rPr>
      </w:pPr>
      <w:r>
        <w:rPr>
          <w:rFonts w:ascii="Times New Roman" w:hAnsi="Times New Roman"/>
          <w:color w:val="000000"/>
          <w:sz w:val="22"/>
        </w:rPr>
        <w:t>301 Binney Street, Suite 402</w:t>
      </w:r>
    </w:p>
    <w:p>
      <w:pPr>
        <w:pStyle w:val="TextBody"/>
        <w:bidi w:val="0"/>
        <w:jc w:val="center"/>
        <w:rPr>
          <w:rFonts w:ascii="Times New Roman" w:hAnsi="Times New Roman"/>
          <w:color w:val="000000"/>
          <w:sz w:val="22"/>
        </w:rPr>
      </w:pPr>
      <w:r>
        <w:rPr>
          <w:rFonts w:ascii="Times New Roman" w:hAnsi="Times New Roman"/>
          <w:color w:val="000000"/>
          <w:sz w:val="22"/>
        </w:rPr>
        <w:t>Cambridge, MA 02142</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October 29, 2024</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Antoine Awad</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Re: Amendment to Separation Agreement by and between Synlogic, Inc. and Antoine Awad, dated as of February 17, 2024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Dear Tony,</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purpose of this letter agreement (“Agreement”) is to confirm the terms of this separation of employment from Synlogic, Inc. (“Synlogic” or “the Company”). The Severance Pay and Benefits described below are contingent on your agreement to and compliance with the provisions of this Agreement, as set forth below. This Agreement shall be effective on the day after you sign the same (the “Effective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Separation of Employment</w:t>
      </w:r>
      <w:r>
        <w:rPr>
          <w:rFonts w:ascii="Times New Roman" w:hAnsi="Times New Roman"/>
          <w:color w:val="000000"/>
          <w:sz w:val="22"/>
        </w:rPr>
        <w:t>. As previously communicated to you, your employment with the Company ends on 12/31/2024 (the “Separation Date”). You acknowledge that from and after the Separation Date, you have no authority to, and shall not, represent yourself as an employee or agent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Severance Pay and Benefits</w:t>
      </w:r>
      <w:r>
        <w:rPr>
          <w:rFonts w:ascii="Times New Roman" w:hAnsi="Times New Roman"/>
          <w:color w:val="000000"/>
          <w:sz w:val="22"/>
        </w:rPr>
        <w:t>. If you comply with the terms of this Agreement, the Company will provide you with the following:</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Severance Pay in the form of a lump-sum payment equivalent to six (6) months of your base salary, or $218,856 less all tax withholdings and any other authorized deductions paid within thirty (30) days of your Separation Date. Such payment is being made consistent with the terms of the Employment Letter Agreement dated November 28, 2018 and the Amendment to the the Employment Letter Agreement, dated December 26, 2023 (collectively the “Awad Employment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Health and Other Benefits</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a)</w:t>
      </w:r>
    </w:p>
    <w:p>
      <w:pPr>
        <w:pStyle w:val="TextBody"/>
        <w:bidi w:val="0"/>
        <w:jc w:val="both"/>
        <w:rPr>
          <w:rFonts w:ascii="Times New Roman" w:hAnsi="Times New Roman"/>
          <w:color w:val="000000"/>
          <w:sz w:val="22"/>
        </w:rPr>
      </w:pPr>
      <w:r>
        <w:rPr>
          <w:rFonts w:ascii="Times New Roman" w:hAnsi="Times New Roman"/>
          <w:color w:val="000000"/>
          <w:sz w:val="22"/>
        </w:rPr>
        <w:t>Health: You will have the right to continue your participation in Synlogic’s medical and dental insurance programs through your Separation Date. You will then have the right to continue your participation in Synlogic’s medical and dental insurance programs subject to your timely applying and being eligible for such benefits pursuant to the provisions of the Consolidated Omnibus Budget Reconciliation Act of 1985 (COBRA), subject to the requirements of COBRA and the continuation of the Company medical and dental plans by its insurance carrier. If you sign this Agreement and it becomes effective as set forth below, and elect COBRA coverage, the Company will continue to pay the Company premium for such coverage for six (6) months after your Separation Date. Your medical and dental plan contributions will be deducted from your severance pay. Thereafter, your continuation of your medical and dental insurance pursuant to the provisions of COBRA will be solely at your own cost. The “qualifying event” under COBRA shall be deemed to have commenced on the Separation Date. In the event that the Company, in connection with the winding down of its business, terminates its group health plan coverage, the Company shall provide you with a taxable lump sum payment equal to the cost of the currently selected medical benefit option times the number of months remaining in the severance period following cessation of the Company’s group health plan coverage.</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u w:val="single"/>
        </w:rPr>
      </w:pPr>
      <w:r>
        <w:rPr>
          <w:rFonts w:ascii="Times New Roman" w:hAnsi="Times New Roman"/>
          <w:color w:val="000000"/>
          <w:sz w:val="22"/>
          <w:u w:val="single"/>
        </w:rPr>
        <w:t>b)</w:t>
      </w:r>
    </w:p>
    <w:p>
      <w:pPr>
        <w:pStyle w:val="TextBody"/>
        <w:bidi w:val="0"/>
        <w:jc w:val="both"/>
        <w:rPr/>
      </w:pPr>
      <w:r>
        <w:rPr>
          <w:rFonts w:ascii="Times New Roman" w:hAnsi="Times New Roman"/>
          <w:color w:val="000000"/>
          <w:sz w:val="22"/>
          <w:u w:val="single"/>
        </w:rPr>
        <w:t>2024 Bonus</w:t>
      </w:r>
      <w:r>
        <w:rPr>
          <w:rFonts w:ascii="Times New Roman" w:hAnsi="Times New Roman"/>
          <w:color w:val="000000"/>
          <w:sz w:val="22"/>
        </w:rPr>
        <w:t>: You will be eligible for consideration of 100% of your target 2024 bonus, pro-rated by the number of days employed in 2024. The determination of whether to award a bonus and the amount of such bonus shall be in the sole discretion of the Company and is subject to the approval of the Board of Directors. If such bonus is awarded, it is expected to be paid by no later than thirty (30) days of 12/31/2024. You acknowledge and agree that you have no contractual or other entitlement to such a bonus.</w:t>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(iii) You acknowledge and agree that the Severance Pay and Benefits set forth in the sub-sections above are consistent with the provisions of the Awad Employment Agreement, and that your signing of this Agreement is a condition precedent to the receipt of such Severance Pay and Benefits.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Equity</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The current Equity Grants will continue to vest during the employment period according to the applicable vesting schedule set forth in the original grant agreement, but shall otherwise remain subject to the original terms and conditions of such Equity Grants. Any unvested equity upon the termination of this Agreement will be forfeited. The term "Equity Grants" shall mean all previous grants to the Employee of (i) shares of Restricted Stock and (ii) grants of stock options (the “Options”) to purchase common stock of the Company, par value $0.001 per share ("Common Stock"), in each case which are subject to time-based vesting as set forth in the applicable Restricted Stock or Option agreement(s).</w:t>
      </w:r>
    </w:p>
    <w:p>
      <w:pPr>
        <w:pStyle w:val="TextBody"/>
        <w:bidi w:val="0"/>
        <w:jc w:val="both"/>
        <w:rPr/>
      </w:pPr>
      <w:r>
        <w:rPr/>
        <w:t> </w:t>
      </w:r>
    </w:p>
    <w:p>
      <w:pPr>
        <w:pStyle w:val="TextBody"/>
        <w:bidi w:val="0"/>
        <w:spacing w:before="0" w:after="160"/>
        <w:jc w:val="left"/>
        <w:rPr>
          <w:rFonts w:ascii="Times New Roman" w:hAnsi="Times New Roman"/>
          <w:sz w:val="20"/>
        </w:rPr>
      </w:pPr>
      <w:r>
        <w:rPr>
          <w:rFonts w:ascii="Times New Roman" w:hAnsi="Times New Roman"/>
          <w:color w:val="000000"/>
          <w:sz w:val="22"/>
        </w:rPr>
        <w:t>(ii) Vested Portion of Options: The Company and the Employee hereby agree that Options are amended on the date indicated on the first page of this Agreement (the “Effective Date”), to provide that the portions of such Options which are vested (the “Vested Options”) shall continue to be outstanding so long as this Agreement remains in effect.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(iii) Unvested Portion: The Company and the Employee hereby agree that the Equity Grants are further amended effective on the Effective Date as follows: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(A) Employee shall have 90 days following such termination in which to exercise any Options which are vested as of the termination date, after which 90- day period any unexercised stock options shall be forfeited to the Company.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(B) The vesting schedule of the unvested portion of the Equity Grant shall not be modified.</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(C) No further grants of equity will be made to Employee.</w:t>
      </w:r>
    </w:p>
    <w:p>
      <w:pPr>
        <w:pStyle w:val="TextBody"/>
        <w:bidi w:val="0"/>
        <w:spacing w:before="0" w:after="160"/>
        <w:jc w:val="left"/>
        <w:rPr>
          <w:rFonts w:ascii="Times New Roman" w:hAnsi="Times New Roman"/>
          <w:sz w:val="20"/>
        </w:rPr>
      </w:pPr>
      <w:r>
        <w:rPr>
          <w:rFonts w:ascii="Times New Roman" w:hAnsi="Times New Roman"/>
          <w:color w:val="000000"/>
          <w:sz w:val="22"/>
        </w:rPr>
        <w:t>(iv) This Agreement shall amend the Equity Grant in accordance with applicable sections of the Company's 2015 Equity Incentive Award Plan and Company’s 2017 Stock Incentive Plan. The provisions of the Equity Grant, including without limitation the expiration dates of the Options, which are not amended or terminated hereby shall remain in effect unchanged.</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(v) Notwithstanding the foregoing, upon the earlier of (a) the filing of a certificate of corporate dissolution with the Delaware Secretary of State or (b) the closing of a Change in Control, the Unvested Portion of each Equity Grant shall accelerate and become fully vested.</w:t>
      </w:r>
    </w:p>
    <w:p>
      <w:pPr>
        <w:pStyle w:val="TextBody"/>
        <w:bidi w:val="0"/>
        <w:spacing w:before="0" w:after="160"/>
        <w:jc w:val="left"/>
        <w:rPr>
          <w:rFonts w:ascii="Times New Roman" w:hAnsi="Times New Roman"/>
          <w:sz w:val="20"/>
        </w:rPr>
      </w:pPr>
      <w:r>
        <w:rPr>
          <w:rFonts w:ascii="Times New Roman" w:hAnsi="Times New Roman"/>
          <w:color w:val="000000"/>
          <w:sz w:val="22"/>
        </w:rPr>
        <w:t>(vi) “Change of Control” shall mean the (i) the sale of the Company by merger in which the shareholders of the Company in their capacity as such no longer own a majority of the outstanding equity securities of the Company (or its successor); (ii) any sale of all or substantially all of the assets or capital stock of the Company (other than in a spin-off or similar transaction); or (iii) any other acquisition of the business of the Company, as determined by the Company’s Board of Directors in their sole discretion.</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aps/>
          <w:color w:val="4472C4"/>
          <w:sz w:val="20"/>
        </w:rPr>
      </w:pPr>
      <w:r>
        <w:rPr>
          <w:rFonts w:ascii="Times New Roman" w:hAnsi="Times New Roman"/>
          <w:caps/>
          <w:color w:val="4472C4"/>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Acknowledgements</w:t>
      </w:r>
      <w:r>
        <w:rPr>
          <w:rFonts w:ascii="Times New Roman" w:hAnsi="Times New Roman"/>
          <w:color w:val="000000"/>
          <w:sz w:val="22"/>
        </w:rPr>
        <w:t>. You acknowledge and agree that the Severance Pay and Benefits to be provided to you are not intended to, and shall not constitute, a severance plan and shall confer no benefit on anyone other than the Company and you. You further acknowledge that except for any unpaid regular wages (including accrued and unused vacation) earned through the Separation Date, which shall be paid on or around the Separation Date, you have been paid and provided all wages, vacation pay, holiday pay, bonus, business expenses, and any other form of compensation or benefit that may be due to you now or which would have become due in the future in connection with your employment or separation of employment with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Return of Property, Confidentiality, Non-Disparagement</w:t>
      </w:r>
      <w:r>
        <w:rPr>
          <w:rFonts w:ascii="Times New Roman" w:hAnsi="Times New Roman"/>
          <w:color w:val="000000"/>
          <w:sz w:val="22"/>
        </w:rPr>
        <w:t>. You expressly acknowledge and agree to the following:</w:t>
      </w:r>
    </w:p>
    <w:p>
      <w:pPr>
        <w:pStyle w:val="TextBody"/>
        <w:bidi w:val="0"/>
        <w:jc w:val="both"/>
        <w:rPr>
          <w:rFonts w:ascii="Times New Roman" w:hAnsi="Times New Roman"/>
          <w:sz w:val="20"/>
        </w:rPr>
      </w:pPr>
      <w:r>
        <w:rPr>
          <w:rFonts w:ascii="Times New Roman" w:hAnsi="Times New Roman"/>
          <w:color w:val="000000"/>
          <w:sz w:val="22"/>
        </w:rPr>
        <w:t xml:space="preserve">(i) That you will abide by any and all obligations contained in agreements you have executed (copies of which can be provided to you), the terms of which are hereby incorporated by reference, which shall survive the signing of this Agreement, and which you hereby affirm. You further agree that you otherwise will keep all confidential information and trade secrets of the Company confidential, and that you will abide by any and all common law and/or statutory obligations relating to protection and non-disclosure of the Company’s trade secrets and/or confidential and proprietary documents and information. Consistent with applicable law, the Company is providing you with the notice of immunity set forth in </w:t>
      </w:r>
      <w:r>
        <w:rPr>
          <w:rFonts w:ascii="Times New Roman" w:hAnsi="Times New Roman"/>
          <w:color w:val="000000"/>
          <w:sz w:val="22"/>
          <w:u w:val="single"/>
        </w:rPr>
        <w:t>Exhibit A</w:t>
      </w:r>
      <w:r>
        <w:rPr>
          <w:rFonts w:ascii="Times New Roman" w:hAnsi="Times New Roman"/>
          <w:color w:val="000000"/>
          <w:sz w:val="22"/>
        </w:rPr>
        <w:t>, which is a part of this Agreement and each other agreement referenced in this subsection.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(ii) Without limiting the foregoing obligations, that by your Separation Date, you will promptly return to the Company all the Company documents (and any copies) and property (including all electronically stored information) regardless of where such documents, information or property is maintained. You acknowledge and agree that you shall not maintain any copies or duplicates of such documents or information. You further acknowledge that if you were to use or disclose any of the information reflected in such items, that this would cause immediate, substantial and irreparable harm to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That all information relating in any way to the negotiation and terms of this Agreement (except for your obligations under Section 5(i) above), including the amount of financial consideration provided for in this Agreement, shall be held confidential by you and shall not be publicized or disclosed to any person (other than an immediate family member, legal counsel, or financial advisor, provided that any such individual to whom disclosure is made agrees to be bound by these confidentiality obligations), business entity, or as otherwise mandated by state or federal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 That you will not make any oral or written statements (including on any social media or other similar platform) that are professionally or personally disparaging about, or adverse to, the interests of the Company (including its officers, directors, employees and consultants) including, but not limited to, any statements that disparage any person, product, service, finances, financial condition, capability or any other aspect of the business of the Company, and that you will not engage in any conduct which could reasonably be expected to harm professionally or personally the reputation of the Company (including its officers, directors, employees and consultants).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(v) That the Severance Pay and Benefits being offered are based on your representations that you have not engaged in any fraudulent or unlawful conduct, and that you have fully disclosed to the Company all material information relating to your job duties for the Company.</w:t>
      </w:r>
    </w:p>
    <w:p>
      <w:pPr>
        <w:pStyle w:val="TextBody"/>
        <w:bidi w:val="0"/>
        <w:jc w:val="both"/>
        <w:rPr>
          <w:rFonts w:ascii="Times New Roman" w:hAnsi="Times New Roman"/>
          <w:sz w:val="20"/>
        </w:rPr>
      </w:pPr>
      <w:r>
        <w:rPr>
          <w:rFonts w:ascii="Times New Roman" w:hAnsi="Times New Roman"/>
          <w:color w:val="000000"/>
          <w:sz w:val="22"/>
        </w:rPr>
        <w:t>(vi) You agree that in the event of your breach of any of your agreements set forth in this Section 5 the Company would suffer substantial irreparable harm and that the Company would not have an adequate remedy at law for such breach. In recognition of the foregoing, you agree that in the event of a breach or threatened breach of any of these covenants, in addition to such other</w:t>
      </w:r>
      <w:r>
        <w:rPr>
          <w:rFonts w:ascii="Times New Roman" w:hAnsi="Times New Roman"/>
          <w:color w:val="000000"/>
          <w:sz w:val="20"/>
        </w:rPr>
        <w:t xml:space="preserve"> </w:t>
      </w:r>
    </w:p>
    <w:p>
      <w:pPr>
        <w:pStyle w:val="TextBody"/>
        <w:bidi w:val="0"/>
        <w:jc w:val="center"/>
        <w:rPr>
          <w:rFonts w:ascii="Times New Roman" w:hAnsi="Times New Roman"/>
          <w:caps/>
          <w:color w:val="4472C4"/>
          <w:sz w:val="20"/>
        </w:rPr>
      </w:pPr>
      <w:r>
        <w:rPr>
          <w:rFonts w:ascii="Times New Roman" w:hAnsi="Times New Roman"/>
          <w:caps/>
          <w:color w:val="4472C4"/>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remedies as the Company may have at law, without posting any bond or security, the Company shall be entitled to seek and obtain equitable relief, in the form of specific performance, 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You further agree that the Company shall be entitled to its costs and fees, including attorneys’ fees, incurred by it should it prevail in enforcing and provision of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Cooperation/Transition of Duties</w:t>
      </w:r>
      <w:r>
        <w:rPr>
          <w:rFonts w:ascii="Times New Roman" w:hAnsi="Times New Roman"/>
          <w:color w:val="000000"/>
          <w:sz w:val="22"/>
        </w:rPr>
        <w:t>. You agree that during the Severance Period you will make yourself reasonably available to the Company, upon reasonable notice, either by email, telephone or, if the Company believes necessary, in person to assist the Company in any matter relating to the services performed by you during your employment with the Company including, but not limited, transitioning your duties to others at the Company. You further agree that during this period of time and thereafter you will cooperate fully with the Company in the defense or prosecution of any claims or actions now in existence or which may be brought or threatened in the future against or on behalf of the Company, including any claim or action against its directors, officers and employees. Your cooperation in connection with such claims or actions shall include, your being available</w:t>
      </w:r>
      <w:r>
        <w:rPr>
          <w:rFonts w:ascii="Times New Roman" w:hAnsi="Times New Roman"/>
          <w:b/>
          <w:color w:val="000000"/>
          <w:sz w:val="22"/>
        </w:rPr>
        <w:t xml:space="preserve">, </w:t>
      </w:r>
      <w:r>
        <w:rPr>
          <w:rFonts w:ascii="Times New Roman" w:hAnsi="Times New Roman"/>
          <w:color w:val="000000"/>
          <w:sz w:val="22"/>
        </w:rPr>
        <w:t>within reason given the constraints of future employment or job search activities, to meet with the Company to prepare for any proceeding, to provide truthful affidavits and/or testimony, to assist with any audit, inspection, proceeding or other inquiry, and to act as a witness in connection with any litigation or other legal proceeding affecting the Company. You further agree that should an individual representing a party adverse to the business or legal interests of the Company (including, without limitation, anyone threatening any form of legal action against the Company) contact you (directly or indirectly), you will promptly (within 48 hours) inform the Company of that fact. Nothing herein shall be construed to prohibit or prevent you from cooperating with any government investigation (including maintaining the confidentiality of such investigation if required by the government), nor shall any such cooperation be deemed to be a violation of your obligations of non-disparagement set forth in Section 5(iv) above.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Release of Claims</w:t>
      </w:r>
      <w:r>
        <w:rPr>
          <w:rFonts w:ascii="Times New Roman" w:hAnsi="Times New Roman"/>
          <w:color w:val="000000"/>
          <w:sz w:val="22"/>
        </w:rPr>
        <w:t>. You hereby acknowledge and agree that by signing this Agreement, you are waiving your right to assert any Claim (as defined below) against Synlogic arising from acts or omissions that occurred on or before the Separation Date or the Effective Date, whichever is later. Please note definition of Synlogic contained in footnote 1 of this Agreement.</w:t>
        <w:br/>
        <w:br/>
        <w:t>Your waiver and release is intended to bar any form of legal claim, lawsuit, charge, complaint or any other form of action (jointly referred to as “Claims”) against the Company seeking money or any other form of relief, including but not limited to equitable relief (whether declaratory, injunctive or otherwise),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and/or other source of law of any state, country and/or locality (collectively and individually referred to as “Law”), including but not limited to the United States, the Commonwealth of Massachusetts, and/or any other state or locality where you worked for the Company.</w:t>
        <w:br/>
        <w:br/>
        <w:t>Without limiting the foregoing general waiver and release, except for Claims resulting from the failure of the Company to perform its obligations under this Agreement, you specifically waive and release the Company from any Claims arising from or related to your employment relationship with the Company or the termination thereof, including without limitation: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 Claims under any Law concerning discrimination, harassment, retaliation, or other fair employment practices, including, but not limited to the Massachusetts Anti-Discrimination and</w:t>
      </w:r>
      <w:r>
        <w:rPr>
          <w:rFonts w:ascii="Times New Roman" w:hAnsi="Times New Roman"/>
          <w:color w:val="000000"/>
          <w:sz w:val="20"/>
        </w:rPr>
        <w:t xml:space="preserve"> </w:t>
      </w:r>
    </w:p>
    <w:p>
      <w:pPr>
        <w:pStyle w:val="TextBody"/>
        <w:bidi w:val="0"/>
        <w:jc w:val="center"/>
        <w:rPr>
          <w:rFonts w:ascii="Times New Roman" w:hAnsi="Times New Roman"/>
          <w:caps/>
          <w:color w:val="4472C4"/>
          <w:sz w:val="20"/>
        </w:rPr>
      </w:pPr>
      <w:r>
        <w:rPr>
          <w:rFonts w:ascii="Times New Roman" w:hAnsi="Times New Roman"/>
          <w:caps/>
          <w:color w:val="4472C4"/>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2"/>
        </w:rPr>
        <w:t xml:space="preserve">Anti-Harassment Law (M.G.L. c.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Times New Roman" w:hAnsi="Times New Roman"/>
          <w:i/>
          <w:color w:val="000000"/>
          <w:sz w:val="22"/>
        </w:rPr>
        <w:t>et seq.</w:t>
      </w:r>
      <w:r>
        <w:rPr>
          <w:rFonts w:ascii="Times New Roman" w:hAnsi="Times New Roman"/>
          <w:color w:val="000000"/>
          <w:sz w:val="22"/>
        </w:rPr>
        <w:t xml:space="preserve">), Title VII of the Civil Rights Act of 1964 (42 U.S.C. § 2000e </w:t>
      </w:r>
      <w:r>
        <w:rPr>
          <w:rFonts w:ascii="Times New Roman" w:hAnsi="Times New Roman"/>
          <w:i/>
          <w:color w:val="000000"/>
          <w:sz w:val="22"/>
        </w:rPr>
        <w:t>et seq.</w:t>
      </w:r>
      <w:r>
        <w:rPr>
          <w:rFonts w:ascii="Times New Roman" w:hAnsi="Times New Roman"/>
          <w:color w:val="000000"/>
          <w:sz w:val="22"/>
        </w:rPr>
        <w:t xml:space="preserve">), 42 U.S.C. § 1981, the Civil Rights Act of 1991, Section 1981 of the U.S.C. Title 42, the Americans with Disabilities Act (42 U.S.C. § 12101 </w:t>
      </w:r>
      <w:r>
        <w:rPr>
          <w:rFonts w:ascii="Times New Roman" w:hAnsi="Times New Roman"/>
          <w:i/>
          <w:color w:val="000000"/>
          <w:sz w:val="22"/>
        </w:rPr>
        <w:t>et seq.</w:t>
      </w:r>
      <w:r>
        <w:rPr>
          <w:rFonts w:ascii="Times New Roman" w:hAnsi="Times New Roman"/>
          <w:color w:val="000000"/>
          <w:sz w:val="22"/>
        </w:rPr>
        <w:t>), the Occupational Safety and Health Act, 29 U.S.C. §651 et seq. each as they may have been amended through the Separation Date or the Effective Date, whichever is later.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(ii) Claims under any Law relating to wages, hours, whistleblowing, leaves of absences or any other terms and conditions of employment, including but not limited to the Family and Medical Leave Act of 1993 (29 U.S.C. § 2601 </w:t>
      </w:r>
      <w:r>
        <w:rPr>
          <w:rFonts w:ascii="Times New Roman" w:hAnsi="Times New Roman"/>
          <w:i/>
          <w:color w:val="000000"/>
          <w:sz w:val="22"/>
        </w:rPr>
        <w:t>et seq.</w:t>
      </w:r>
      <w:r>
        <w:rPr>
          <w:rFonts w:ascii="Times New Roman" w:hAnsi="Times New Roman"/>
          <w:color w:val="000000"/>
          <w:sz w:val="22"/>
        </w:rPr>
        <w:t xml:space="preserve">), the Emergency Family and Medical Leave Expansion Act (Pub. L. No. 116-127, § 3101, 134 Stat. 178, 189); the Emergency Paid Sick Leave Act (Pub. L. No. 116-127, § 5101, 134 Stat. 178, 195), the Employee Retirement Income Security Act (ERISA), the Fair Labor Standards Act, the Worker Adjustment and Retraining Notification (WARN) Act, the National Labor Relations Act (NLRA), the American Rescue Plan Act of 2021, the Massachusetts Payment of Wages Law (Massachusetts General Laws Chapter 149, §§ 148, 150), Massachusetts General Laws Chapter 149 in its entirety, Massachusetts General Laws Chapter 151 in its entirety (including but not limited to the minimum wage and overtime provisions), the Massachusetts Paid Family Medical Leave Act (M.G.L. c. 175M </w:t>
      </w:r>
      <w:r>
        <w:rPr>
          <w:rFonts w:ascii="Times New Roman" w:hAnsi="Times New Roman"/>
          <w:i/>
          <w:color w:val="000000"/>
          <w:sz w:val="22"/>
        </w:rPr>
        <w:t>et seq.</w:t>
      </w:r>
      <w:r>
        <w:rPr>
          <w:rFonts w:ascii="Times New Roman" w:hAnsi="Times New Roman"/>
          <w:color w:val="000000"/>
          <w:sz w:val="22"/>
        </w:rPr>
        <w:t>), each as they may have been amended through the Separation Date or the Effective Date, whichever is later. You specifically acknowledge that you are waiving any Claims for unpaid wages under these and other 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(iii) Claims under any local, state or federal common law theory including, without limitation, any Claim for breach of contract, ownership of inventions or any other intellectual property, implied contract, misrepresentation (intentional or negligent), fraud, promissory estoppel, unjust enrichment, quantum meruit, defamation (libel or slander), or any other Claim sounding in contract or tort.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(iv) Claims arising under the Company’s policies or benefit plans.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(v) Claims arising under any other Law or constitution.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Notwithstanding the foregoing, this Section shall not release Synlogic from any obligation expressly set forth in this Agreement. You acknowledge and agree that, but for providing this waiver and release, you would not be receiving the Severance Pay and Benefits provided for in this Agreement.</w:t>
      </w:r>
    </w:p>
    <w:p>
      <w:pPr>
        <w:pStyle w:val="TextBody"/>
        <w:bidi w:val="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OWBPA</w:t>
      </w:r>
      <w:r>
        <w:rPr>
          <w:rFonts w:ascii="Times New Roman" w:hAnsi="Times New Roman"/>
          <w:color w:val="000000"/>
          <w:sz w:val="22"/>
        </w:rPr>
        <w:t>. Because you are at least forty (40) years of age, you have specific rights under the federal Age Discrimination in Employment Act (“ADEA”) and Older Workers Benefit Protection Act (“OWBPA”), which prohibit discrimination on the basis of age. The release in Section 7 is intended to release any Claim you may have against Synlogic alleging discrimination on the basis of age under the ADEA, OWBPA, and other Laws. Notwithstanding anything to the contrary in this Agreement, the release in Section 7 does not cover rights or Claims under the ADEA that arise after the date you sign this Agreement or the Effective Date, whichever is later.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Further, 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 you are being provided with certain information, in the chart attached as Exhibit B to this Agreement, pertaining to the ages and job titles of employees in the same decisional unit who are affected and who are not affected by the reduction in force that is resulting in the termination of your employment. In addition, consistent with the provisions of the OWBPA, the Company is</w:t>
      </w:r>
      <w:r>
        <w:rPr>
          <w:rFonts w:ascii="Times New Roman" w:hAnsi="Times New Roman"/>
          <w:color w:val="000000"/>
          <w:sz w:val="20"/>
        </w:rPr>
        <w:t xml:space="preserve"> </w:t>
      </w:r>
    </w:p>
    <w:p>
      <w:pPr>
        <w:pStyle w:val="TextBody"/>
        <w:bidi w:val="0"/>
        <w:jc w:val="center"/>
        <w:rPr>
          <w:rFonts w:ascii="Times New Roman" w:hAnsi="Times New Roman"/>
          <w:caps/>
          <w:color w:val="4472C4"/>
          <w:sz w:val="20"/>
        </w:rPr>
      </w:pPr>
      <w:r>
        <w:rPr>
          <w:rFonts w:ascii="Times New Roman" w:hAnsi="Times New Roman"/>
          <w:caps/>
          <w:color w:val="4472C4"/>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2"/>
        </w:rPr>
      </w:pPr>
      <w:r>
        <w:rPr>
          <w:rFonts w:ascii="Times New Roman" w:hAnsi="Times New Roman"/>
          <w:color w:val="000000"/>
          <w:sz w:val="22"/>
        </w:rPr>
        <w:t>providing you with over forty-five (45) days from the date you are provided this Agreement to consider and accept the terms of this Agreement by signing below and returning it to Mary Beth Dooley, Head of Finance at marybeth@synlogictx.com or returning it to Synlogic, 301 Binney St, Cambridge, MA 02142 c/o Mary Beth Dooley, Head of Finance, and notifying Mary Beth Dooley by email that it has been sent by hard copy.You further agree that any changes to this Agreement will not restart the running of this 45-day period. In addition, you may rescind your assent to this Agreement if, within seven (7) days after you sign this Agreement, you deliver a notice of rescission to Synlogic. To be effective, such rescission must be hand delivered or postmarked within the seven (7) day period and sent by certified mail, return receipt requested, to Mary Beth Dooley at Synlogic at the above referenced address.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Also, consistent with the provisions of state and federal discrimination laws (the “Discrimination Laws”), nothing in the general waiver and release set forth in Section 7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 However, the release in Section 7 does prohibit you from seeking or receiving monetary damages or other individual-specific relief in connection with any such charge or complaint of age or other work-related discrimination. Further, nothing in this Agreement shall be deemed to limit Synlogic’s right to seek immediate dismissal of such charge or complaint on the basis that your signing of this Agreement constitutes a full release of any individual rights under the Discrimination Laws, or Synlogic’s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Consequences of Breach</w:t>
      </w:r>
      <w:r>
        <w:rPr>
          <w:rFonts w:ascii="Times New Roman" w:hAnsi="Times New Roman"/>
          <w:color w:val="000000"/>
          <w:sz w:val="22"/>
        </w:rPr>
        <w:t>. In addition to any other remedies set forth in this Agreement, a breach by you of any of your obligations set forth in this Agreement shall constitute a material breach of this Agreement and, in addition to any other legal or equitable remedy available to Synlogic, shall entitle Synlogic to cease any further payment of the Severance Pay and Benefits, and to recover any Severance Pay or Benefits or its support for other benefits already provided to you. Regardless of any such breach, your release set forth in Section 7 above shall remain in full force and effect.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Entire Agreement/Choice of Law/Enforceability/Jury Waiver/Successors and Assigns</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 Except as otherwise expressly provided in this Agreement, this Agreement supersedes any and all other prior oral and/or written agreements and sets forth the entire agreement between you and Synlogic. No variations or modifications hereof shall be deemed valid unless reduced to writing and signed by the parties hereto.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(ii) This Agreement shall be governed by the law of the state where you reside on the date you sign this Agreement, without giving effect to conflict of law principles.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(iii) Both parties further agree that any action, demand, claim or counterclaim relating to this Agreement shall be resolved by a judge alone, and both parties hereby waive and forever renounce the right to a trial before a civil jury.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(iv) If your release of Claims pursuant to Section 7 is determined to be unenforceable in whole or part, the Company will have the option, in its sole discretion, to either (a) declare the entire Agreement null and void and require you to refund the Severance Pay and Benefits provided for in this Agreement; or (b) enforce the portions of the Agreement found not to be unenforceable. In the event that any other provision of this Agreement is determined to be unenforceable in whole or part, the remainder of the Agreement shall be enforced in full.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(v) This Agreement shall inure to the benefit of Synlogic and any of its successors and assigns.</w:t>
      </w:r>
      <w:r>
        <w:rPr>
          <w:rFonts w:ascii="Times New Roman" w:hAnsi="Times New Roman"/>
          <w:color w:val="000000"/>
          <w:sz w:val="20"/>
        </w:rPr>
        <w:t xml:space="preserve"> </w:t>
      </w:r>
    </w:p>
    <w:p>
      <w:pPr>
        <w:pStyle w:val="TextBody"/>
        <w:bidi w:val="0"/>
        <w:jc w:val="center"/>
        <w:rPr>
          <w:rFonts w:ascii="Times New Roman" w:hAnsi="Times New Roman"/>
          <w:caps/>
          <w:color w:val="4472C4"/>
          <w:sz w:val="20"/>
        </w:rPr>
      </w:pPr>
      <w:r>
        <w:rPr>
          <w:rFonts w:ascii="Times New Roman" w:hAnsi="Times New Roman"/>
          <w:caps/>
          <w:color w:val="4472C4"/>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 xml:space="preserve">It is Synlogic’s desire and intent to make certain that you fully understand the provisions and effects of this Agreement. By executing this Agreement, you are acknowledging (a) that you have been afforded sufficient time to understand the terms and effects of this Agreement and to consult with legal counsel, (b) that your agreements and obligations hereunder are made voluntarily, knowingly and without duress, and (c) that neither Synlogic nor its agents or representatives have made any representations inconsistent with the provisions of this Agreement. </w:t>
      </w:r>
    </w:p>
    <w:p>
      <w:pPr>
        <w:pStyle w:val="TextBody"/>
        <w:bidi w:val="0"/>
        <w:spacing w:before="0" w:after="200"/>
        <w:jc w:val="both"/>
        <w:rPr>
          <w:rFonts w:ascii="Times New Roman" w:hAnsi="Times New Roman"/>
          <w:sz w:val="20"/>
        </w:rPr>
      </w:pPr>
      <w:r>
        <w:rPr>
          <w:rFonts w:ascii="Times New Roman" w:hAnsi="Times New Roman"/>
          <w:color w:val="000000"/>
          <w:sz w:val="22"/>
        </w:rPr>
        <w:t>If you agree to the terms of this Agreement, please sign and return the enclosed copy of this Agreement.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Very truly yours,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Synlogic, Inc. Accepted and Agreed To: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Peter Barrett /s/ Tony Awad </w:t>
      </w:r>
    </w:p>
    <w:p>
      <w:pPr>
        <w:pStyle w:val="TextBody"/>
        <w:bidi w:val="0"/>
        <w:jc w:val="left"/>
        <w:rPr>
          <w:rFonts w:ascii="Times New Roman" w:hAnsi="Times New Roman"/>
          <w:color w:val="000000"/>
          <w:sz w:val="22"/>
        </w:rPr>
      </w:pPr>
      <w:r>
        <w:rPr>
          <w:rFonts w:ascii="Times New Roman" w:hAnsi="Times New Roman"/>
          <w:color w:val="000000"/>
          <w:sz w:val="22"/>
        </w:rPr>
        <w:t xml:space="preserve">Peter Barrett, Chair </w:t>
      </w:r>
    </w:p>
    <w:p>
      <w:pPr>
        <w:pStyle w:val="TextBody"/>
        <w:bidi w:val="0"/>
        <w:jc w:val="left"/>
        <w:rPr>
          <w:rFonts w:ascii="Times New Roman" w:hAnsi="Times New Roman"/>
          <w:sz w:val="20"/>
        </w:rPr>
      </w:pPr>
      <w:r>
        <w:rPr>
          <w:rFonts w:ascii="Times New Roman" w:hAnsi="Times New Roman"/>
          <w:color w:val="000000"/>
          <w:sz w:val="22"/>
        </w:rPr>
        <w:t xml:space="preserve">Dated: </w:t>
      </w:r>
      <w:r>
        <w:rPr>
          <w:rFonts w:ascii="Times New Roman" w:hAnsi="Times New Roman"/>
          <w:color w:val="000000"/>
          <w:sz w:val="22"/>
          <w:u w:val="single"/>
        </w:rPr>
        <w:t xml:space="preserve">10/30/2024 </w:t>
      </w:r>
      <w:r>
        <w:rPr>
          <w:rFonts w:ascii="Times New Roman" w:hAnsi="Times New Roman"/>
          <w:color w:val="000000"/>
          <w:sz w:val="22"/>
        </w:rPr>
        <w:t xml:space="preserve">Dated: </w:t>
      </w:r>
      <w:r>
        <w:rPr>
          <w:rFonts w:ascii="Times New Roman" w:hAnsi="Times New Roman"/>
          <w:color w:val="000000"/>
          <w:sz w:val="22"/>
          <w:u w:val="single"/>
        </w:rPr>
        <w:t xml:space="preserve">10/29/2024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aps/>
          <w:color w:val="4472C4"/>
          <w:sz w:val="20"/>
        </w:rPr>
      </w:pPr>
      <w:r>
        <w:rPr>
          <w:rFonts w:ascii="Times New Roman" w:hAnsi="Times New Roman"/>
          <w:caps/>
          <w:color w:val="4472C4"/>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sybx-ex10_8.htm"/>
      <w:bookmarkStart w:id="25" w:name="kssybxex10_8"/>
      <w:bookmarkEnd w:id="24"/>
      <w:bookmarkEnd w:id="25"/>
      <w:r>
        <w:rPr>
          <w:rFonts w:ascii="Times New Roman" w:hAnsi="Times New Roman"/>
          <w:b/>
          <w:color w:val="000000"/>
          <w:sz w:val="20"/>
        </w:rPr>
        <w:t>Exhibit 10.8</w:t>
      </w:r>
      <w:r>
        <w:br w:type="page"/>
      </w:r>
    </w:p>
    <w:p>
      <w:pPr>
        <w:pStyle w:val="TextBody"/>
        <w:bidi w:val="0"/>
        <w:jc w:val="left"/>
        <w:rPr/>
      </w:pPr>
      <w:r>
        <w:rPr/>
        <w:drawing>
          <wp:inline distT="0" distB="0" distL="0" distR="0">
            <wp:extent cx="152400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Source Sans Pro;sans-serif" w:hAnsi="Source Sans Pro;sans-serif"/>
          <w:b/>
          <w:color w:val="000000"/>
          <w:sz w:val="22"/>
        </w:rPr>
      </w:pPr>
      <w:r>
        <w:rPr>
          <w:rFonts w:ascii="Source Sans Pro;sans-serif" w:hAnsi="Source Sans Pro;sans-serif"/>
          <w:b/>
          <w:color w:val="000000"/>
          <w:sz w:val="22"/>
        </w:rPr>
        <w:t>Effective Date: March 1, 2024</w:t>
      </w:r>
    </w:p>
    <w:p>
      <w:pPr>
        <w:pStyle w:val="TextBody"/>
        <w:bidi w:val="0"/>
        <w:jc w:val="left"/>
        <w:rPr/>
      </w:pPr>
      <w:r>
        <w:rPr/>
        <w:t> </w:t>
      </w:r>
    </w:p>
    <w:p>
      <w:pPr>
        <w:pStyle w:val="TextBody"/>
        <w:bidi w:val="0"/>
        <w:jc w:val="left"/>
        <w:rPr>
          <w:rFonts w:ascii="Source Sans Pro;sans-serif" w:hAnsi="Source Sans Pro;sans-serif"/>
          <w:color w:val="000000"/>
          <w:sz w:val="22"/>
        </w:rPr>
      </w:pPr>
      <w:r>
        <w:rPr>
          <w:rFonts w:ascii="Source Sans Pro;sans-serif" w:hAnsi="Source Sans Pro;sans-serif"/>
          <w:color w:val="000000"/>
          <w:sz w:val="22"/>
        </w:rPr>
        <w:t>Tony Awad</w:t>
      </w:r>
    </w:p>
    <w:p>
      <w:pPr>
        <w:pStyle w:val="TextBody"/>
        <w:bidi w:val="0"/>
        <w:jc w:val="left"/>
        <w:rPr/>
      </w:pPr>
      <w:r>
        <w:rPr/>
        <w:t> </w:t>
      </w:r>
    </w:p>
    <w:p>
      <w:pPr>
        <w:pStyle w:val="TextBody"/>
        <w:bidi w:val="0"/>
        <w:jc w:val="left"/>
        <w:rPr>
          <w:rFonts w:ascii="Times New Roman" w:hAnsi="Times New Roman"/>
          <w:sz w:val="20"/>
        </w:rPr>
      </w:pPr>
      <w:r>
        <w:rPr>
          <w:rFonts w:ascii="Source Sans Pro;sans-serif" w:hAnsi="Source Sans Pro;sans-serif"/>
          <w:color w:val="000000"/>
          <w:sz w:val="24"/>
        </w:rPr>
        <w:t xml:space="preserve">Re: </w:t>
      </w:r>
      <w:r>
        <w:rPr>
          <w:rFonts w:ascii="Times New Roman" w:hAnsi="Times New Roman"/>
          <w:i/>
          <w:color w:val="000000"/>
          <w:sz w:val="22"/>
        </w:rPr>
        <w:t>Amendment to Retention Bonus Agreement by and between Synlogic, Inc. and Antoine Awad, dated as of March 7, 2024</w:t>
      </w:r>
    </w:p>
    <w:p>
      <w:pPr>
        <w:pStyle w:val="TextBody"/>
        <w:bidi w:val="0"/>
        <w:jc w:val="left"/>
        <w:rPr/>
      </w:pPr>
      <w:r>
        <w:rPr/>
        <w:t> </w:t>
      </w:r>
    </w:p>
    <w:p>
      <w:pPr>
        <w:pStyle w:val="TextBody"/>
        <w:bidi w:val="0"/>
        <w:jc w:val="left"/>
        <w:rPr/>
      </w:pPr>
      <w:r>
        <w:rPr/>
        <w:t> </w:t>
      </w:r>
    </w:p>
    <w:p>
      <w:pPr>
        <w:pStyle w:val="TextBody"/>
        <w:bidi w:val="0"/>
        <w:jc w:val="left"/>
        <w:rPr>
          <w:rFonts w:ascii="Source Sans Pro;sans-serif" w:hAnsi="Source Sans Pro;sans-serif"/>
          <w:color w:val="000000"/>
          <w:sz w:val="22"/>
        </w:rPr>
      </w:pPr>
      <w:r>
        <w:rPr>
          <w:rFonts w:ascii="Source Sans Pro;sans-serif" w:hAnsi="Source Sans Pro;sans-serif"/>
          <w:color w:val="000000"/>
          <w:sz w:val="22"/>
        </w:rPr>
        <w:t>Dear Tony:</w:t>
      </w:r>
    </w:p>
    <w:p>
      <w:pPr>
        <w:pStyle w:val="TextBody"/>
        <w:bidi w:val="0"/>
        <w:jc w:val="left"/>
        <w:rPr/>
      </w:pPr>
      <w:r>
        <w:rPr/>
        <w:t> </w:t>
      </w:r>
    </w:p>
    <w:p>
      <w:pPr>
        <w:pStyle w:val="TextBody"/>
        <w:bidi w:val="0"/>
        <w:jc w:val="both"/>
        <w:rPr>
          <w:rFonts w:ascii="Times New Roman" w:hAnsi="Times New Roman"/>
          <w:sz w:val="20"/>
        </w:rPr>
      </w:pPr>
      <w:r>
        <w:rPr>
          <w:rFonts w:ascii="Source Sans Pro;sans-serif" w:hAnsi="Source Sans Pro;sans-serif"/>
          <w:color w:val="000000"/>
          <w:sz w:val="22"/>
        </w:rPr>
        <w:t>In recognition of your value and expected contributions to Synlogic, Inc. (“the Company”) we are pleased to offer you the following Retention Bonus Agreement (the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Source Sans Pro;sans-serif" w:hAnsi="Source Sans Pro;sans-serif"/>
          <w:b/>
          <w:color w:val="000000"/>
          <w:sz w:val="22"/>
        </w:rPr>
      </w:pPr>
      <w:r>
        <w:rPr>
          <w:rFonts w:ascii="Source Sans Pro;sans-serif" w:hAnsi="Source Sans Pro;sans-serif"/>
          <w:b/>
          <w:color w:val="000000"/>
          <w:sz w:val="22"/>
        </w:rPr>
        <w:t>Retention Bonus Amount and Eligibility Conditions</w:t>
      </w:r>
    </w:p>
    <w:p>
      <w:pPr>
        <w:pStyle w:val="TextBody"/>
        <w:bidi w:val="0"/>
        <w:jc w:val="both"/>
        <w:rPr/>
      </w:pPr>
      <w:r>
        <w:rPr/>
        <w:t> </w:t>
      </w:r>
    </w:p>
    <w:p>
      <w:pPr>
        <w:pStyle w:val="TextBody"/>
        <w:bidi w:val="0"/>
        <w:jc w:val="both"/>
        <w:rPr>
          <w:rFonts w:ascii="Source Sans Pro;sans-serif" w:hAnsi="Source Sans Pro;sans-serif"/>
          <w:color w:val="000000"/>
          <w:sz w:val="22"/>
        </w:rPr>
      </w:pPr>
      <w:r>
        <w:rPr>
          <w:rFonts w:ascii="Source Sans Pro;sans-serif" w:hAnsi="Source Sans Pro;sans-serif"/>
          <w:color w:val="000000"/>
          <w:sz w:val="22"/>
        </w:rPr>
        <w:t>If you (a) remain employed by the Company and continue to provide services at a satisfactory level through December 31, 2024 (the “Termination Date”) and (b) meet the remaining conditions of this paragraph, then you will receive a Retention Bonus in the amount of 75% of your base salary for each month worked on a pro rata basis, paid as a lump sum within thirty (30) days of 12/31/2024. If you terminate your employment for any reason prior to December 31, 2024 or the Company terminates your employment for cause, then you shall not be eligible for the Retention Bonus. This bonus will be subject to all federal, state, city or other tax withholdings.</w:t>
      </w:r>
    </w:p>
    <w:p>
      <w:pPr>
        <w:pStyle w:val="TextBody"/>
        <w:bidi w:val="0"/>
        <w:jc w:val="both"/>
        <w:rPr/>
      </w:pPr>
      <w:r>
        <w:rPr/>
        <w:t> </w:t>
      </w:r>
    </w:p>
    <w:p>
      <w:pPr>
        <w:pStyle w:val="TextBody"/>
        <w:bidi w:val="0"/>
        <w:jc w:val="both"/>
        <w:rPr/>
      </w:pPr>
      <w:r>
        <w:rPr/>
        <w:t> </w:t>
      </w:r>
    </w:p>
    <w:p>
      <w:pPr>
        <w:pStyle w:val="TextBody"/>
        <w:bidi w:val="0"/>
        <w:jc w:val="both"/>
        <w:rPr>
          <w:rFonts w:ascii="Source Sans Pro;sans-serif" w:hAnsi="Source Sans Pro;sans-serif"/>
          <w:b/>
          <w:color w:val="000000"/>
          <w:sz w:val="22"/>
        </w:rPr>
      </w:pPr>
      <w:r>
        <w:rPr>
          <w:rFonts w:ascii="Source Sans Pro;sans-serif" w:hAnsi="Source Sans Pro;sans-serif"/>
          <w:b/>
          <w:color w:val="000000"/>
          <w:sz w:val="22"/>
        </w:rPr>
        <w:t>Additional Terms</w:t>
      </w:r>
    </w:p>
    <w:p>
      <w:pPr>
        <w:pStyle w:val="TextBody"/>
        <w:bidi w:val="0"/>
        <w:jc w:val="both"/>
        <w:rPr/>
      </w:pPr>
      <w:r>
        <w:rPr/>
        <w:t> </w:t>
      </w:r>
    </w:p>
    <w:p>
      <w:pPr>
        <w:pStyle w:val="TextBody"/>
        <w:bidi w:val="0"/>
        <w:jc w:val="both"/>
        <w:rPr>
          <w:rFonts w:ascii="Times New Roman" w:hAnsi="Times New Roman"/>
          <w:sz w:val="20"/>
        </w:rPr>
      </w:pPr>
      <w:r>
        <w:rPr>
          <w:rFonts w:ascii="Source Sans Pro;sans-serif" w:hAnsi="Source Sans Pro;sans-serif"/>
          <w:color w:val="000000"/>
          <w:sz w:val="22"/>
        </w:rPr>
        <w:t>Nothing in this letter supersedes or in any way modifies any existing agreement(s) between you and the Company including, without limitation, any separation agreement, agreements concerning inventions assignment, protection of confidential information or trade secrets, non-solicitation of customers, clients, business or employee. This Retention Bonus is not intended and shall not be deemed a “wage” under any federal or state wage-hour law.</w:t>
      </w:r>
      <w:r>
        <w:rPr>
          <w:rFonts w:ascii="Times New Roman" w:hAnsi="Times New Roman"/>
          <w:color w:val="000000"/>
          <w:sz w:val="20"/>
        </w:rPr>
        <w:t xml:space="preserve"> </w:t>
      </w:r>
    </w:p>
    <w:p>
      <w:pPr>
        <w:pStyle w:val="TextBody"/>
        <w:bidi w:val="0"/>
        <w:spacing w:before="240" w:after="283"/>
        <w:jc w:val="both"/>
        <w:rPr>
          <w:rFonts w:ascii="Source Sans Pro;sans-serif" w:hAnsi="Source Sans Pro;sans-serif"/>
          <w:color w:val="000000"/>
          <w:sz w:val="22"/>
        </w:rPr>
      </w:pPr>
      <w:r>
        <w:rPr>
          <w:rFonts w:ascii="Source Sans Pro;sans-serif" w:hAnsi="Source Sans Pro;sans-serif"/>
          <w:color w:val="000000"/>
          <w:sz w:val="22"/>
        </w:rPr>
        <w:t>You acknowledge that payment of the Retention Bonus is not part of normal or expected compensation for purposes of calculating any severance, resignation, redundancy, end of service payments, bonuses, long-service awards, pension or retirement benefits, matching contributions or similar payments.</w:t>
      </w:r>
    </w:p>
    <w:p>
      <w:pPr>
        <w:pStyle w:val="TextBody"/>
        <w:bidi w:val="0"/>
        <w:jc w:val="both"/>
        <w:rPr/>
      </w:pPr>
      <w:r>
        <w:rPr/>
        <w:t> </w:t>
      </w:r>
    </w:p>
    <w:p>
      <w:pPr>
        <w:pStyle w:val="TextBody"/>
        <w:bidi w:val="0"/>
        <w:jc w:val="both"/>
        <w:rPr>
          <w:rFonts w:ascii="Source Sans Pro;sans-serif" w:hAnsi="Source Sans Pro;sans-serif"/>
          <w:color w:val="000000"/>
          <w:sz w:val="22"/>
        </w:rPr>
      </w:pPr>
      <w:r>
        <w:rPr>
          <w:rFonts w:ascii="Source Sans Pro;sans-serif" w:hAnsi="Source Sans Pro;sans-serif"/>
          <w:color w:val="000000"/>
          <w:sz w:val="22"/>
        </w:rPr>
        <w:t>The validity, interpretation and performance of this Agreement shall, in all respects, be governed by the laws of the Commonwealth of Massachusetts. No provision of this Agreement may be modified, altered or amended, except in a writing signed by both you and an authorized Officer of the Company. The Company may assign or delegate this Agreement or any of its rights or obligations hereunder to a person or entity that is an affiliate of or successor to the Company.</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10.8</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Source Sans Pro;sans-serif" w:hAnsi="Source Sans Pro;sans-serif"/>
          <w:color w:val="000000"/>
          <w:sz w:val="22"/>
        </w:rPr>
        <w:t>On behalf of Synlogic, I want to thank you in advance for your efforts in helping the Company. Please confirm your understanding and agreement to the terms and conditions of this Agreement by signing and returning the enclosed copy of this letter.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left"/>
        <w:rPr>
          <w:rFonts w:ascii="Times New Roman" w:hAnsi="Times New Roman"/>
          <w:sz w:val="20"/>
        </w:rPr>
      </w:pPr>
      <w:r>
        <w:rPr>
          <w:rFonts w:ascii="Source Sans Pro;sans-serif" w:hAnsi="Source Sans Pro;sans-serif"/>
          <w:color w:val="000000"/>
          <w:sz w:val="22"/>
        </w:rPr>
        <w:t>Sincerely,</w:t>
      </w:r>
      <w:r>
        <w:rPr>
          <w:rFonts w:ascii="Times New Roman" w:hAnsi="Times New Roman"/>
          <w:color w:val="000000"/>
          <w:sz w:val="20"/>
        </w:rPr>
        <w:t xml:space="preserve"> </w:t>
      </w:r>
    </w:p>
    <w:p>
      <w:pPr>
        <w:pStyle w:val="TextBody"/>
        <w:bidi w:val="0"/>
        <w:spacing w:before="0" w:after="120"/>
        <w:jc w:val="left"/>
        <w:rPr>
          <w:rFonts w:ascii="Source Sans Pro;sans-serif" w:hAnsi="Source Sans Pro;sans-serif"/>
          <w:color w:val="000000"/>
          <w:sz w:val="22"/>
        </w:rPr>
      </w:pPr>
      <w:r>
        <w:rPr>
          <w:rFonts w:ascii="Source Sans Pro;sans-serif" w:hAnsi="Source Sans Pro;sans-serif"/>
          <w:color w:val="000000"/>
          <w:sz w:val="22"/>
        </w:rPr>
        <w:t>SYNLOGIC, INC.</w:t>
      </w:r>
    </w:p>
    <w:p>
      <w:pPr>
        <w:pStyle w:val="TextBody"/>
        <w:bidi w:val="0"/>
        <w:spacing w:before="0" w:after="120"/>
        <w:jc w:val="left"/>
        <w:rPr>
          <w:rFonts w:ascii="Source Sans Pro;sans-serif" w:hAnsi="Source Sans Pro;sans-serif"/>
          <w:color w:val="000000"/>
          <w:sz w:val="22"/>
        </w:rPr>
      </w:pPr>
      <w:r>
        <w:rPr>
          <w:rFonts w:ascii="Source Sans Pro;sans-serif" w:hAnsi="Source Sans Pro;sans-serif"/>
          <w:color w:val="000000"/>
          <w:sz w:val="22"/>
        </w:rPr>
        <w:t xml:space="preserve">By: </w:t>
      </w:r>
    </w:p>
    <w:p>
      <w:pPr>
        <w:pStyle w:val="TextBody"/>
        <w:bidi w:val="0"/>
        <w:spacing w:before="0" w:after="120"/>
        <w:jc w:val="left"/>
        <w:rPr/>
      </w:pPr>
      <w:r>
        <w:rPr/>
        <w:t> </w:t>
      </w:r>
    </w:p>
    <w:p>
      <w:pPr>
        <w:pStyle w:val="TextBody"/>
        <w:bidi w:val="0"/>
        <w:spacing w:before="0" w:after="120"/>
        <w:jc w:val="left"/>
        <w:rPr>
          <w:rFonts w:ascii="Source Sans Pro;sans-serif" w:hAnsi="Source Sans Pro;sans-serif"/>
          <w:color w:val="000000"/>
          <w:sz w:val="22"/>
          <w:u w:val="single"/>
        </w:rPr>
      </w:pPr>
      <w:r>
        <w:rPr>
          <w:rFonts w:ascii="Source Sans Pro;sans-serif" w:hAnsi="Source Sans Pro;sans-serif"/>
          <w:color w:val="000000"/>
          <w:sz w:val="22"/>
          <w:u w:val="single"/>
        </w:rPr>
        <w:t xml:space="preserve">/s/ Peter Barrett </w:t>
      </w:r>
    </w:p>
    <w:p>
      <w:pPr>
        <w:pStyle w:val="TextBody"/>
        <w:bidi w:val="0"/>
        <w:spacing w:before="0" w:after="120"/>
        <w:jc w:val="left"/>
        <w:rPr>
          <w:rFonts w:ascii="Source Sans Pro;sans-serif" w:hAnsi="Source Sans Pro;sans-serif"/>
          <w:color w:val="000000"/>
          <w:sz w:val="22"/>
        </w:rPr>
      </w:pPr>
      <w:r>
        <w:rPr>
          <w:rFonts w:ascii="Source Sans Pro;sans-serif" w:hAnsi="Source Sans Pro;sans-serif"/>
          <w:color w:val="000000"/>
          <w:sz w:val="22"/>
        </w:rPr>
        <w:t>Name: Peter Barrett</w:t>
      </w:r>
    </w:p>
    <w:p>
      <w:pPr>
        <w:pStyle w:val="TextBody"/>
        <w:bidi w:val="0"/>
        <w:spacing w:before="0" w:after="120"/>
        <w:jc w:val="left"/>
        <w:rPr>
          <w:rFonts w:ascii="Source Sans Pro;sans-serif" w:hAnsi="Source Sans Pro;sans-serif"/>
          <w:color w:val="000000"/>
          <w:sz w:val="22"/>
        </w:rPr>
      </w:pPr>
      <w:r>
        <w:rPr>
          <w:rFonts w:ascii="Source Sans Pro;sans-serif" w:hAnsi="Source Sans Pro;sans-serif"/>
          <w:color w:val="000000"/>
          <w:sz w:val="22"/>
        </w:rPr>
        <w:t>Title: Chair</w:t>
      </w:r>
    </w:p>
    <w:p>
      <w:pPr>
        <w:pStyle w:val="TextBody"/>
        <w:bidi w:val="0"/>
        <w:spacing w:before="0" w:after="120"/>
        <w:jc w:val="left"/>
        <w:rPr/>
      </w:pPr>
      <w:r>
        <w:rPr/>
        <w:t> </w:t>
      </w:r>
    </w:p>
    <w:p>
      <w:pPr>
        <w:pStyle w:val="TextBody"/>
        <w:bidi w:val="0"/>
        <w:spacing w:before="0" w:after="120"/>
        <w:jc w:val="left"/>
        <w:rPr>
          <w:rFonts w:ascii="Source Sans Pro;sans-serif" w:hAnsi="Source Sans Pro;sans-serif"/>
          <w:color w:val="000000"/>
          <w:sz w:val="22"/>
        </w:rPr>
      </w:pPr>
      <w:r>
        <w:rPr>
          <w:rFonts w:ascii="Source Sans Pro;sans-serif" w:hAnsi="Source Sans Pro;sans-serif"/>
          <w:color w:val="000000"/>
          <w:sz w:val="22"/>
        </w:rPr>
        <w:t>Accepted and Approved:</w:t>
      </w:r>
    </w:p>
    <w:p>
      <w:pPr>
        <w:pStyle w:val="TextBody"/>
        <w:bidi w:val="0"/>
        <w:spacing w:before="0" w:after="120"/>
        <w:jc w:val="left"/>
        <w:rPr/>
      </w:pPr>
      <w:r>
        <w:rPr/>
        <w:t> </w:t>
      </w:r>
    </w:p>
    <w:p>
      <w:pPr>
        <w:pStyle w:val="TextBody"/>
        <w:bidi w:val="0"/>
        <w:spacing w:before="0" w:after="120"/>
        <w:jc w:val="left"/>
        <w:rPr>
          <w:rFonts w:ascii="Source Sans Pro;sans-serif" w:hAnsi="Source Sans Pro;sans-serif"/>
          <w:color w:val="000000"/>
          <w:sz w:val="22"/>
          <w:u w:val="single"/>
        </w:rPr>
      </w:pPr>
      <w:r>
        <w:rPr>
          <w:rFonts w:ascii="Source Sans Pro;sans-serif" w:hAnsi="Source Sans Pro;sans-serif"/>
          <w:color w:val="000000"/>
          <w:sz w:val="22"/>
          <w:u w:val="single"/>
        </w:rPr>
        <w:t xml:space="preserve">/s/ Tony Awad </w:t>
      </w:r>
    </w:p>
    <w:p>
      <w:pPr>
        <w:pStyle w:val="TextBody"/>
        <w:bidi w:val="0"/>
        <w:spacing w:before="0" w:after="120"/>
        <w:jc w:val="left"/>
        <w:rPr>
          <w:rFonts w:ascii="Source Sans Pro;sans-serif" w:hAnsi="Source Sans Pro;sans-serif"/>
          <w:color w:val="000000"/>
          <w:sz w:val="22"/>
        </w:rPr>
      </w:pPr>
      <w:r>
        <w:rPr>
          <w:rFonts w:ascii="Source Sans Pro;sans-serif" w:hAnsi="Source Sans Pro;sans-serif"/>
          <w:color w:val="000000"/>
          <w:sz w:val="22"/>
        </w:rPr>
        <w:t>Name: Tony Awad</w:t>
      </w:r>
    </w:p>
    <w:p>
      <w:pPr>
        <w:pStyle w:val="TextBody"/>
        <w:bidi w:val="0"/>
        <w:spacing w:before="0" w:after="120"/>
        <w:jc w:val="left"/>
        <w:rPr>
          <w:rFonts w:ascii="Times New Roman" w:hAnsi="Times New Roman"/>
          <w:sz w:val="20"/>
        </w:rPr>
      </w:pPr>
      <w:r>
        <w:rPr>
          <w:rFonts w:ascii="Source Sans Pro;sans-serif" w:hAnsi="Source Sans Pro;sans-serif"/>
          <w:color w:val="000000"/>
          <w:sz w:val="22"/>
        </w:rPr>
        <w:t xml:space="preserve">Date: </w:t>
      </w:r>
      <w:r>
        <w:rPr>
          <w:rFonts w:ascii="Source Sans Pro;sans-serif" w:hAnsi="Source Sans Pro;sans-serif"/>
          <w:color w:val="000000"/>
          <w:sz w:val="22"/>
          <w:u w:val="single"/>
        </w:rPr>
        <w:t xml:space="preserve">10/29/2024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sybx-ex10_9.htm"/>
      <w:bookmarkStart w:id="27" w:name="kssybxex10_9"/>
      <w:bookmarkEnd w:id="26"/>
      <w:bookmarkEnd w:id="27"/>
      <w:r>
        <w:rPr>
          <w:rFonts w:ascii="Times New Roman" w:hAnsi="Times New Roman"/>
          <w:b/>
          <w:color w:val="000000"/>
          <w:sz w:val="20"/>
        </w:rPr>
        <w:t>Exhibit 10.9</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Synlogic Operating Company, Inc.</w:t>
      </w:r>
    </w:p>
    <w:p>
      <w:pPr>
        <w:pStyle w:val="TextBody"/>
        <w:bidi w:val="0"/>
        <w:jc w:val="center"/>
        <w:rPr>
          <w:rFonts w:ascii="Times New Roman" w:hAnsi="Times New Roman"/>
          <w:color w:val="000000"/>
          <w:sz w:val="22"/>
        </w:rPr>
      </w:pPr>
      <w:r>
        <w:rPr>
          <w:rFonts w:ascii="Times New Roman" w:hAnsi="Times New Roman"/>
          <w:color w:val="000000"/>
          <w:sz w:val="22"/>
        </w:rPr>
        <w:t>301 Binney Street, Suite 402</w:t>
      </w:r>
    </w:p>
    <w:p>
      <w:pPr>
        <w:pStyle w:val="TextBody"/>
        <w:bidi w:val="0"/>
        <w:jc w:val="center"/>
        <w:rPr>
          <w:rFonts w:ascii="Times New Roman" w:hAnsi="Times New Roman"/>
          <w:color w:val="000000"/>
          <w:sz w:val="22"/>
        </w:rPr>
      </w:pPr>
      <w:r>
        <w:rPr>
          <w:rFonts w:ascii="Times New Roman" w:hAnsi="Times New Roman"/>
          <w:color w:val="000000"/>
          <w:sz w:val="22"/>
        </w:rPr>
        <w:t>Cambridge, MA 02142</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October 30, 2024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Re: Amendment to Separation Agreement by and between Synlogic, Inc. and Mary Beth Dooley, dated as of February 16, 2024</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Dear Mary Beth,</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purpose of this letter agreement (“Agreement”) is to confirm the terms of this separation of employment from Synlogic, Inc. (“Synlogic” or “the Company”). The Severance Pay and Benefits described below are contingent on your agreement to and compliance with the provisions of this Agreement, as set forth below. This Agreement shall be effective on the day after you sign the same (the “Effective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Separation of Employment</w:t>
      </w:r>
      <w:r>
        <w:rPr>
          <w:rFonts w:ascii="Times New Roman" w:hAnsi="Times New Roman"/>
          <w:color w:val="000000"/>
          <w:sz w:val="22"/>
        </w:rPr>
        <w:t>. As previously communicated to you, your employment with the Company ends on December 31, 2024 (the “Separation Date”). You acknowledge that from and after the Separation Date, you have no authority to, and shall not, represent yourself as an employee or agent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Severance Pay and Benefits</w:t>
      </w:r>
      <w:r>
        <w:rPr>
          <w:rFonts w:ascii="Times New Roman" w:hAnsi="Times New Roman"/>
          <w:color w:val="000000"/>
          <w:sz w:val="22"/>
        </w:rPr>
        <w:t>. If you comply with the terms of this Agreement, the Company will provide you with the following: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 Severance Pay in the form of a lump-sum payment equivalent to six (6) months of your base salary, or $162,500, less all tax withholdings and any other authorized deductions paid within thirty (30) days of your Separation 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Health and Other Benefits</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3"/>
          <w:u w:val="single"/>
        </w:rPr>
      </w:pPr>
      <w:r>
        <w:rPr>
          <w:rFonts w:ascii="Times New Roman" w:hAnsi="Times New Roman"/>
          <w:color w:val="000000"/>
          <w:sz w:val="23"/>
          <w:u w:val="single"/>
        </w:rPr>
        <w:t>a)</w:t>
      </w:r>
    </w:p>
    <w:p>
      <w:pPr>
        <w:pStyle w:val="TextBody"/>
        <w:bidi w:val="0"/>
        <w:jc w:val="both"/>
        <w:rPr>
          <w:rFonts w:ascii="Times New Roman" w:hAnsi="Times New Roman"/>
          <w:color w:val="000000"/>
          <w:sz w:val="22"/>
        </w:rPr>
      </w:pPr>
      <w:r>
        <w:rPr>
          <w:rFonts w:ascii="Times New Roman" w:hAnsi="Times New Roman"/>
          <w:color w:val="000000"/>
          <w:sz w:val="22"/>
        </w:rPr>
        <w:t xml:space="preserve">Health: You will have the right to continue your participation in Synlogic’s medical and dental insurance programs through your Separation Date. You will then have the right to continue your participation in Synlogic’s medical and dental insurance programs subject to your timely applying and being eligible for such benefits pursuant to the provisions of the Consolidated Omnibus Budget Reconciliation Act of 1985 (COBRA), subject to the requirements of COBRA and the continuation of the Company medical and dental plans by its insurance carrier. If you sign this Agreement and it becomes effective as set forth below, and elect COBRA coverage, the Company will continue to pay the Company premium for such coverage for six (6) months after your Separation Date. Your medical and dental plan contributions will be deducted from your severance pay. Thereafter, your continuation of your medical and dental insurance pursuant to the provisions of COBRA will be solely at your own cost. The “qualifying event” under COBRA shall be deemed to have commenced on the Separation Date.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the event that the Company, in connection with the winding down of its business, terminates its group health plan coverage, the Company shall provide you with a taxable lump sum payment equal to the cost of the currently selected medical benefit option times the number of months remaining in the severance period following cessation of the Company’s group health plan coverage.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0"/>
        <w:jc w:val="both"/>
        <w:rPr>
          <w:rFonts w:ascii="Times New Roman" w:hAnsi="Times New Roman"/>
          <w:color w:val="000000"/>
          <w:sz w:val="23"/>
          <w:u w:val="single"/>
        </w:rPr>
      </w:pPr>
      <w:r>
        <w:rPr>
          <w:rFonts w:ascii="Times New Roman" w:hAnsi="Times New Roman"/>
          <w:color w:val="000000"/>
          <w:sz w:val="23"/>
          <w:u w:val="single"/>
        </w:rPr>
        <w:t>b)</w:t>
      </w:r>
    </w:p>
    <w:p>
      <w:pPr>
        <w:pStyle w:val="TextBody"/>
        <w:bidi w:val="0"/>
        <w:jc w:val="both"/>
        <w:rPr/>
      </w:pPr>
      <w:r>
        <w:rPr>
          <w:rFonts w:ascii="Times New Roman" w:hAnsi="Times New Roman"/>
          <w:color w:val="000000"/>
          <w:sz w:val="23"/>
          <w:u w:val="single"/>
        </w:rPr>
        <w:t>2024 Bonus</w:t>
      </w:r>
      <w:r>
        <w:rPr>
          <w:rFonts w:ascii="Times New Roman" w:hAnsi="Times New Roman"/>
          <w:color w:val="000000"/>
          <w:sz w:val="23"/>
        </w:rPr>
        <w:t>: You will be eligible for consideration of 100% of your target 2024 bonus, pro-rated by the number of days employed in 2024. The determination of whether to award a bonus and the amount of such bonus shall be in the sole discretion of the Company and is subject to the approval of the Board of Directors. If such bonus is awarded, it is expected to be paid by no later than thirty (30) days of 12/31/2024. You acknowledge and agree that you have no contractual or other entitlement to such a bonus.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Equity</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(i) The current Equity Grants will continue to vest during the employment period according to the applicable vesting schedule set forth in the original grant agreement, but shall otherwise remain subject to the original terms and conditions of such Equity Grants. Any unvested equity upon the termination of this Agreement will be forfeited. The term "Equity Grants" shall mean all previous grants to the Employee of (i) shares of Restricted Stock and (ii) grants of stock options (the “Options”) to purchase common stock of the Company, par value $0.001 per share ("Common Stock"), in each case which are subject to time-based vesting as set forth in the applicable Restricted Stock or Option agreement(s).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(ii) Vested Portion of Options: The Company and the Employee hereby agree that Options are amended on the date indicated on the first page of this Agreement (the “Effective Date”), to provide that the portions of such Options which are vested (the “Vested Options”) shall continue to be outstanding so long as this Agreement remains in effect.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(iii) Unvested Portion: The Company and the Employee hereby agree that the Equity Grants are further amended effective on the Effective Date as follows: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(A) Employee shall have 90 days following such termination in which to exercise any Options which are vested as of the termination date, after which 90- day period any unexercised stock options shall be forfeited to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 The vesting schedule of the unvested portion of the Equity Grant shall not be modified.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(C) No further grants of equity will be made to Employee.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(iv) This Agreement shall amend the Equity Grant in accordance with applicable sections of the Company's 2015 Equity Incentive Award Plan and Company’s 2017 Stock Incentive Plan. The provisions of the Equity Grant, including without limitation the expiration dates of the Options, which are not amended or terminated hereby shall remain in effect unchanged.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aps/>
          <w:color w:val="4472C4"/>
          <w:sz w:val="20"/>
        </w:rPr>
      </w:pPr>
      <w:r>
        <w:rPr>
          <w:rFonts w:ascii="Times New Roman" w:hAnsi="Times New Roman"/>
          <w:caps/>
          <w:color w:val="4472C4"/>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(v) Notwithstanding the foregoing, upon the earlier of (a) the filing of a certificate of corporate dissolution with the Delaware Secretary of State or (b) the closing of a Change in Control, the Unvested Portion of each Equity Grant shall accelerate and become fully vested.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(vi) “Change of Control” shall mean the (i) the sale of the Company by merger in which the shareholders of the Company in their capacity as such no longer own a majority of the outstanding equity securities of the Company (or its successor); (ii) any sale of all or substantially all of the assets or capital stock of the Company (other than in a spin-off or similar transaction); or (iii) any other acquisition of the business of the Company, as determined by the Company’s Board of Directors in their sole discretion.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Acknowledgements</w:t>
      </w:r>
      <w:r>
        <w:rPr>
          <w:rFonts w:ascii="Times New Roman" w:hAnsi="Times New Roman"/>
          <w:color w:val="000000"/>
          <w:sz w:val="22"/>
        </w:rPr>
        <w:t>. You acknowledge and agree that the Severance Pay and Benefits to be provided to you are not intended to, and shall not constitute, a severance plan and shall confer no benefit on anyone other than the Company and you. You further acknowledge that except for any unpaid regular wages (including accrued and unused vacation) earned through the Separation Date, which shall be paid on or around the Separation Date, you have been paid and provided all wages, vacation pay, holiday pay, bonus, business expenses, and any other form of compensation or benefit that may be due to you now or which would have become due in the future in connection with your employment or separation of employment with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Return of Property, Confidentiality, Non-Disparagement</w:t>
      </w:r>
      <w:r>
        <w:rPr>
          <w:rFonts w:ascii="Times New Roman" w:hAnsi="Times New Roman"/>
          <w:color w:val="000000"/>
          <w:sz w:val="22"/>
        </w:rPr>
        <w:t>. You expressly acknowledge and agree to the following:</w:t>
      </w:r>
    </w:p>
    <w:p>
      <w:pPr>
        <w:pStyle w:val="TextBody"/>
        <w:bidi w:val="0"/>
        <w:jc w:val="both"/>
        <w:rPr>
          <w:rFonts w:ascii="Times New Roman" w:hAnsi="Times New Roman"/>
          <w:sz w:val="20"/>
        </w:rPr>
      </w:pPr>
      <w:r>
        <w:rPr>
          <w:rFonts w:ascii="Times New Roman" w:hAnsi="Times New Roman"/>
          <w:color w:val="000000"/>
          <w:sz w:val="22"/>
        </w:rPr>
        <w:t xml:space="preserve">(i) That you will abide by any and all obligations contained in agreements you have executed (copies of which can be provided to you), the terms of which are hereby incorporated by reference, which shall survive the signing of this Agreement, and which you hereby affirm. You further agree that you otherwise will keep all confidential information and trade secrets of the Company confidential, and that you will abide by any and all common law and/or statutory obligations relating to protection and non-disclosure of the Company’s trade secrets and/or confidential and proprietary documents and information. Consistent with applicable law, the Company is providing you with the notice of immunity set forth in </w:t>
      </w:r>
      <w:r>
        <w:rPr>
          <w:rFonts w:ascii="Times New Roman" w:hAnsi="Times New Roman"/>
          <w:color w:val="000000"/>
          <w:sz w:val="22"/>
          <w:u w:val="single"/>
        </w:rPr>
        <w:t>Exhibit A</w:t>
      </w:r>
      <w:r>
        <w:rPr>
          <w:rFonts w:ascii="Times New Roman" w:hAnsi="Times New Roman"/>
          <w:color w:val="000000"/>
          <w:sz w:val="22"/>
        </w:rPr>
        <w:t>, which is a part of this Agreement and each other agreement referenced in this subsection.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(ii) Without limiting the foregoing obligations, that by your Separation Date, you will promptly return to the Company all the Company documents (and any copies) and property (including all electronically stored information) regardless of where such documents, information or property is maintained. You acknowledge and agree that you shall not maintain any copies or duplicates of such documents or information. You further acknowledge that if you were to use or disclose any of the information reflected in such items, that this would cause immediate, substantial and irreparable harm to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That all information relating in any way to the negotiation and terms of this Agreement (except for your obligations under Section 5(i) above), including the amount of financial consideration provided for in this Agreement, shall be held confidential by you and shall not be publicized or disclosed to any person (other than an immediate family member, legal counsel, or financial advisor, provided that any such individual to whom disclosure is made agrees to be bound by these confidentiality obligations), business entity, or as otherwise mandated by state or federal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 That you will not make any oral or written statements (including on any social media or other similar platform) that are professionally or personally disparaging about, or adverse to, the interests of the Company (including its officers, directors, employees and consultants) including, but not limited to, any statements that disparage any person, product, service, finances, financial condition, capability or any other aspect of the business of the Company, and that you will not</w:t>
      </w:r>
      <w:r>
        <w:rPr>
          <w:rFonts w:ascii="Times New Roman" w:hAnsi="Times New Roman"/>
          <w:color w:val="000000"/>
          <w:sz w:val="20"/>
        </w:rPr>
        <w:t xml:space="preserve"> </w:t>
      </w:r>
    </w:p>
    <w:p>
      <w:pPr>
        <w:pStyle w:val="TextBody"/>
        <w:bidi w:val="0"/>
        <w:jc w:val="center"/>
        <w:rPr>
          <w:rFonts w:ascii="Times New Roman" w:hAnsi="Times New Roman"/>
          <w:caps/>
          <w:color w:val="4472C4"/>
          <w:sz w:val="20"/>
        </w:rPr>
      </w:pPr>
      <w:r>
        <w:rPr>
          <w:rFonts w:ascii="Times New Roman" w:hAnsi="Times New Roman"/>
          <w:caps/>
          <w:color w:val="4472C4"/>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engage in any conduct which could reasonably be expected to harm professionally or personally the reputation of the Company (including its officers, directors, employees and consultants).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(v) That the Severance Pay and Benefits being offered are based on your representations that you have not engaged in any fraudulent or unlawful conduct, and that you have fully disclosed to the Company all material information relating to your job duties for the Company.</w:t>
      </w:r>
    </w:p>
    <w:p>
      <w:pPr>
        <w:pStyle w:val="TextBody"/>
        <w:bidi w:val="0"/>
        <w:jc w:val="both"/>
        <w:rPr>
          <w:rFonts w:ascii="Times New Roman" w:hAnsi="Times New Roman"/>
          <w:color w:val="000000"/>
          <w:sz w:val="22"/>
        </w:rPr>
      </w:pPr>
      <w:r>
        <w:rPr>
          <w:rFonts w:ascii="Times New Roman" w:hAnsi="Times New Roman"/>
          <w:color w:val="000000"/>
          <w:sz w:val="22"/>
        </w:rPr>
        <w:t>(vi) You agree that in the event of your breach of any of your agreements set forth in this Section 5 the Company would suffer substantial irreparable harm and that the Company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You further agree that the Company shall be entitled to its costs and fees, including attorneys’ fees, incurred by it should it prevail in enforcing and provision of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Cooperation/Transition of Duties</w:t>
      </w:r>
      <w:r>
        <w:rPr>
          <w:rFonts w:ascii="Times New Roman" w:hAnsi="Times New Roman"/>
          <w:color w:val="000000"/>
          <w:sz w:val="22"/>
        </w:rPr>
        <w:t>. You agree that during the Severance Period you will make yourself reasonably available to the Company, upon reasonable notice, either by email, telephone or, if the Company believes necessary, in person to assist the Company in any matter relating to the services performed by you during your employment with the Company including, but not limited, transitioning your duties to others at the Company. You further agree that during this period of time and thereafter you will cooperate fully with the Company in the defense or prosecution of any claims or actions now in existence or which may be brought or threatened in the future against or on behalf of the Company, including any claim or action against its directors, officers and employees. Your cooperation in connection with such claims or actions shall include, your being available</w:t>
      </w:r>
      <w:r>
        <w:rPr>
          <w:rFonts w:ascii="Times New Roman" w:hAnsi="Times New Roman"/>
          <w:b/>
          <w:color w:val="000000"/>
          <w:sz w:val="22"/>
        </w:rPr>
        <w:t xml:space="preserve">, </w:t>
      </w:r>
      <w:r>
        <w:rPr>
          <w:rFonts w:ascii="Times New Roman" w:hAnsi="Times New Roman"/>
          <w:color w:val="000000"/>
          <w:sz w:val="22"/>
        </w:rPr>
        <w:t>within reason given the constraints of future employment or job search activities, to meet with the Company to prepare for any proceeding, to provide truthful affidavits and/or testimony, to assist with any audit, inspection, proceeding or other inquiry, and to act as a witness in connection with any litigation or other legal proceeding affecting the Company. You further agree that should an individual representing a party adverse to the business or legal interests of the Company (including, without limitation, anyone threatening any form of legal action against the Company) contact you (directly or indirectly), you will promptly (within 48 hours) inform the Company of that fact. Nothing herein shall be construed to prohibit or prevent you from cooperating with any government investigation (including maintaining the confidentiality of such investigation if required by the government), nor shall any such cooperation be deemed to be a violation of your obligations of non-disparagement set forth in Section 5(iv) above.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7.</w:t>
      </w:r>
      <w:r>
        <w:rPr>
          <w:rFonts w:ascii="Times New Roman" w:hAnsi="Times New Roman"/>
          <w:color w:val="000000"/>
          <w:sz w:val="20"/>
        </w:rPr>
        <w:t xml:space="preserve"> </w:t>
      </w:r>
      <w:r>
        <w:rPr>
          <w:rFonts w:ascii="Times New Roman" w:hAnsi="Times New Roman"/>
          <w:color w:val="000000"/>
          <w:sz w:val="22"/>
          <w:u w:val="single"/>
        </w:rPr>
        <w:t>Release of Claims</w:t>
      </w:r>
      <w:r>
        <w:rPr>
          <w:rFonts w:ascii="Times New Roman" w:hAnsi="Times New Roman"/>
          <w:color w:val="000000"/>
          <w:sz w:val="22"/>
        </w:rPr>
        <w:t>. You hereby acknowledge and agree that by signing this Agreement, you are waiving your right to assert any Claim (as defined below) against Synlogic arising from acts or omissions that occurred on or before the Separation Date or the Effective Date, whichever is later. Please note definition of Synlogic contained in footnote 1 of this Agreement.</w:t>
        <w:br/>
        <w:br/>
        <w:t>Your waiver and release is intended to bar any form of legal claim, lawsuit, charge, complaint or any other form of action (jointly referred to as “Claims”) against the Company seeking money or any other form of relief, including but not limited to equitable relief (whether declaratory, injunctive or otherwise),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w:t>
      </w:r>
      <w:r>
        <w:rPr>
          <w:rFonts w:ascii="Times New Roman" w:hAnsi="Times New Roman"/>
          <w:color w:val="000000"/>
          <w:sz w:val="20"/>
        </w:rPr>
        <w:t xml:space="preserve"> </w:t>
      </w:r>
    </w:p>
    <w:p>
      <w:pPr>
        <w:pStyle w:val="TextBody"/>
        <w:bidi w:val="0"/>
        <w:jc w:val="center"/>
        <w:rPr>
          <w:rFonts w:ascii="Times New Roman" w:hAnsi="Times New Roman"/>
          <w:caps/>
          <w:color w:val="4472C4"/>
          <w:sz w:val="20"/>
        </w:rPr>
      </w:pPr>
      <w:r>
        <w:rPr>
          <w:rFonts w:ascii="Times New Roman" w:hAnsi="Times New Roman"/>
          <w:caps/>
          <w:color w:val="4472C4"/>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2"/>
        </w:rPr>
        <w:t>under any statute, ordinance, regulation, executive order, common law, constitution and/or other source of law of any state, country and/or locality (collectively and individually referred to as “Law”), including but not limited to the United States, the Commonwealth of Massachusetts, and/or any other state or locality where you worked for the Company.</w:t>
        <w:br/>
        <w:br/>
        <w:t>Without limiting the foregoing general waiver and release, except for Claims resulting from the failure of the Company to perform its obligations under this Agreement, you specifically waive and release the Company from any Claims arising from or related to your employment relationship with the Company or the termination thereof, including without limitation: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 Claims under any Law concerning discrimination, harassment, retaliation, or other fair employment practices, including, but not limited to the Massachusetts Anti-Discrimination and Anti-Harassment Law (M.G.L. c.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Times New Roman" w:hAnsi="Times New Roman"/>
          <w:i/>
          <w:color w:val="000000"/>
          <w:sz w:val="22"/>
        </w:rPr>
        <w:t>et seq.</w:t>
      </w:r>
      <w:r>
        <w:rPr>
          <w:rFonts w:ascii="Times New Roman" w:hAnsi="Times New Roman"/>
          <w:color w:val="000000"/>
          <w:sz w:val="22"/>
        </w:rPr>
        <w:t xml:space="preserve">), Title VII of the Civil Rights Act of 1964 (42 U.S.C. § 2000e </w:t>
      </w:r>
      <w:r>
        <w:rPr>
          <w:rFonts w:ascii="Times New Roman" w:hAnsi="Times New Roman"/>
          <w:i/>
          <w:color w:val="000000"/>
          <w:sz w:val="22"/>
        </w:rPr>
        <w:t>et seq.</w:t>
      </w:r>
      <w:r>
        <w:rPr>
          <w:rFonts w:ascii="Times New Roman" w:hAnsi="Times New Roman"/>
          <w:color w:val="000000"/>
          <w:sz w:val="22"/>
        </w:rPr>
        <w:t xml:space="preserve">), 42 U.S.C. § 1981, the Civil Rights Act of 1991, Section 1981 of the U.S.C. Title 42, the Americans with Disabilities Act (42 U.S.C. § 12101 </w:t>
      </w:r>
      <w:r>
        <w:rPr>
          <w:rFonts w:ascii="Times New Roman" w:hAnsi="Times New Roman"/>
          <w:i/>
          <w:color w:val="000000"/>
          <w:sz w:val="22"/>
        </w:rPr>
        <w:t>et seq.</w:t>
      </w:r>
      <w:r>
        <w:rPr>
          <w:rFonts w:ascii="Times New Roman" w:hAnsi="Times New Roman"/>
          <w:color w:val="000000"/>
          <w:sz w:val="22"/>
        </w:rPr>
        <w:t>), the Occupational Safety and Health Act, 29 U.S.C. §651 et seq. each as they may have been amended through the Separation Date or the Effective Date, whichever is later.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(ii) Claims under any Law relating to wages, hours, whistleblowing, leaves of absences or any other terms and conditions of employment, including but not limited to the Family and Medical Leave Act of 1993 (29 U.S.C. § 2601 </w:t>
      </w:r>
      <w:r>
        <w:rPr>
          <w:rFonts w:ascii="Times New Roman" w:hAnsi="Times New Roman"/>
          <w:i/>
          <w:color w:val="000000"/>
          <w:sz w:val="22"/>
        </w:rPr>
        <w:t>et seq.</w:t>
      </w:r>
      <w:r>
        <w:rPr>
          <w:rFonts w:ascii="Times New Roman" w:hAnsi="Times New Roman"/>
          <w:color w:val="000000"/>
          <w:sz w:val="22"/>
        </w:rPr>
        <w:t xml:space="preserve">), the Emergency Family and Medical Leave Expansion Act (Pub. L. No. 116-127, § 3101, 134 Stat. 178, 189); the Emergency Paid Sick Leave Act (Pub. L. No. 116-127, § 5101, 134 Stat. 178, 195), the Employee Retirement Income Security Act (ERISA), the Fair Labor Standards Act, the Worker Adjustment and Retraining Notification (WARN) Act, the National Labor Relations Act (NLRA), the American Rescue Plan Act of 2021, the Massachusetts Payment of Wages Law (Massachusetts General Laws Chapter 149, §§ 148, 150), Massachusetts General Laws Chapter 149 in its entirety, Massachusetts General Laws Chapter 151 in its entirety (including but not limited to the minimum wage and overtime provisions), the Massachusetts Paid Family Medical Leave Act (M.G.L. c. 175M </w:t>
      </w:r>
      <w:r>
        <w:rPr>
          <w:rFonts w:ascii="Times New Roman" w:hAnsi="Times New Roman"/>
          <w:i/>
          <w:color w:val="000000"/>
          <w:sz w:val="22"/>
        </w:rPr>
        <w:t>et seq.</w:t>
      </w:r>
      <w:r>
        <w:rPr>
          <w:rFonts w:ascii="Times New Roman" w:hAnsi="Times New Roman"/>
          <w:color w:val="000000"/>
          <w:sz w:val="22"/>
        </w:rPr>
        <w:t>), each as they may have been amended through the Separation Date or the Effective Date, whichever is later. You specifically acknowledge that you are waiving any Claims for unpaid wages under these and other 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(iii) Claims under any local, state or federal common law theory including, without limitation, any Claim for breach of contract, ownership of inventions or any other intellectual property, implied contract, misrepresentation (intentional or negligent), fraud, promissory estoppel, unjust enrichment, quantum meruit, defamation (libel or slander), or any other Claim sounding in contract or tort.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(iv) Claims arising under the Company’s policies or benefit plans.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(v) Claims arising under any other Law or constitution.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Notwithstanding the foregoing, this Section shall not release Synlogic from any obligation expressly set forth in this Agreement. You acknowledge and agree that, but for providing this waiver and release, you would not be receiving the Severance Pay and Benefits provided for in this Agreement.</w:t>
      </w:r>
    </w:p>
    <w:p>
      <w:pPr>
        <w:pStyle w:val="TextBody"/>
        <w:bidi w:val="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OWBPA</w:t>
      </w:r>
      <w:r>
        <w:rPr>
          <w:rFonts w:ascii="Times New Roman" w:hAnsi="Times New Roman"/>
          <w:color w:val="000000"/>
          <w:sz w:val="22"/>
        </w:rPr>
        <w:t>. Because you are at least forty (40) years of age, you have specific rights under the federal Age Discrimination in Employment Act (“ADEA”) and Older Workers Benefit Protection Act (“OWBPA”), which prohibit discrimination on the basis of age. The release in Section 7 is intended to release any</w:t>
      </w:r>
      <w:r>
        <w:rPr>
          <w:rFonts w:ascii="Times New Roman" w:hAnsi="Times New Roman"/>
          <w:color w:val="000000"/>
          <w:sz w:val="20"/>
        </w:rPr>
        <w:t xml:space="preserve"> </w:t>
      </w:r>
    </w:p>
    <w:p>
      <w:pPr>
        <w:pStyle w:val="TextBody"/>
        <w:bidi w:val="0"/>
        <w:jc w:val="center"/>
        <w:rPr>
          <w:rFonts w:ascii="Times New Roman" w:hAnsi="Times New Roman"/>
          <w:caps/>
          <w:color w:val="4472C4"/>
          <w:sz w:val="20"/>
        </w:rPr>
      </w:pPr>
      <w:r>
        <w:rPr>
          <w:rFonts w:ascii="Times New Roman" w:hAnsi="Times New Roman"/>
          <w:caps/>
          <w:color w:val="4472C4"/>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2"/>
        </w:rPr>
        <w:t>Claim you may have against Synlogic alleging discrimination on the basis of age under the ADEA, OWBPA, and other Laws. Notwithstanding anything to the contrary in this Agreement, the release in Section 7 does not cover rights or Claims under the ADEA that arise after the date you sign this Agreement or the Effective Date, whichever is later.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Further, 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 you are being provided with certain information, in the chart attached as Exhibit B to this Agreement, pertaining to the ages and job titles of employees in the same decisional unit who are affected and who are not affected by the reduction in force that is resulting in the termination of your employment. In addition, consistent with the provisions of the OWBPA, the Company is providing you with over forty-five (45) days from the date you are provided this Agreement to consider and accept the terms of this Agreement by signing below and returning it to an authorized agent of the Company. You further agree that any changes to this Agreement will not restart the running of this 45-day period. In addition, you may rescind your assent to this Agreement if, within seven (7) days after you sign this Agreement, you deliver a notice of rescission to Synlogic. To be effective, such rescission must be hand delivered or postmarked within the seven (7) day period and sent by certified mail, return receipt requested, to the authorized agent at the above referenced address.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Also, consistent with the provisions of state and federal discrimination laws (the “Discrimination Laws”), nothing in the general waiver and release set forth in Section 7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 However, the release in Section 7 does prohibit you from seeking or receiving monetary damages or other individual-specific relief in connection with any such charge or complaint of age or other work-related discrimination. Further, nothing in this Agreement shall be deemed to limit Synlogic’s right to seek immediate dismissal of such charge or complaint on the basis that your signing of this Agreement constitutes a full release of any individual rights under the Discrimination Laws, or Synlogic’s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Consequences of Breach</w:t>
      </w:r>
      <w:r>
        <w:rPr>
          <w:rFonts w:ascii="Times New Roman" w:hAnsi="Times New Roman"/>
          <w:color w:val="000000"/>
          <w:sz w:val="22"/>
        </w:rPr>
        <w:t>. In addition to any other remedies set forth in this Agreement, a breach by you of any of your obligations set forth in this Agreement shall constitute a material breach of this Agreement and, in addition to any other legal or equitable remedy available to Synlogic, shall entitle Synlogic to cease any further payment of the Severance Pay and Benefits, and to recover any Severance Pay or Benefits or its support for other benefits already provided to you. Regardless of any such breach, your release set forth in Section 7 above shall remain in full force and effect.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Entire Agreement/Choice of Law/Enforceability/Jury Waiver/Successors and Assigns</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 Except as otherwise expressly provided in this Agreement, this Agreement supersedes any and all other prior oral and/or written agreements and sets forth the entire agreement between you and Synlogic. No variations or modifications hereof shall be deemed valid unless reduced to writing and signed by the parties hereto.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(ii) This Agreement shall be governed by the law of the state where you reside on the date you sign this Agreement, without giving effect to conflict of law principles.</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aps/>
          <w:color w:val="4472C4"/>
          <w:sz w:val="20"/>
        </w:rPr>
      </w:pPr>
      <w:r>
        <w:rPr>
          <w:rFonts w:ascii="Times New Roman" w:hAnsi="Times New Roman"/>
          <w:caps/>
          <w:color w:val="4472C4"/>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2"/>
        </w:rPr>
        <w:t>(iii) Both parties further agree that any action, demand, claim or counterclaim relating to this Agreement shall be resolved by a judge alone, and both parties hereby waive and forever renounce the right to a trial before a civil jury.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(iv) If your release of Claims pursuant to Section 7 is determined to be unenforceable in whole or part, the Company will have the option, in its sole discretion, to either (a) declare the entire Agreement null and void and require you to refund the Severance Pay and Benefits provided for in this Agreement; or (b) enforce the portions of the Agreement found not to be unenforceable. In the event that any other provision of this Agreement is determined to be unenforceable in whole or part, the remainder of the Agreement shall be enforced in full.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(v) This Agreement shall inure to the benefit of Synlogic and any of its successors and assigns.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 xml:space="preserve">It is Synlogic’s desire and intent to make certain that you fully understand the provisions and effects of this Agreement. By executing this Agreement, you are acknowledging (a) that you have been afforded sufficient time to understand the terms and effects of this Agreement and to consult with legal counsel, (b) that your agreements and obligations hereunder are made voluntarily, knowingly and without duress, and (c) that neither Synlogic nor its agents or representatives have made any representations inconsistent with the provisions of this Agreement. </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If you agree to the terms of this Agreement, please sign and return the enclosed copy of this Agreement.</w:t>
      </w:r>
    </w:p>
    <w:p>
      <w:pPr>
        <w:pStyle w:val="TextBody"/>
        <w:bidi w:val="0"/>
        <w:jc w:val="left"/>
        <w:rPr>
          <w:rFonts w:ascii="Times New Roman" w:hAnsi="Times New Roman"/>
          <w:color w:val="000000"/>
          <w:sz w:val="22"/>
        </w:rPr>
      </w:pPr>
      <w:r>
        <w:rPr>
          <w:rFonts w:ascii="Times New Roman" w:hAnsi="Times New Roman"/>
          <w:color w:val="000000"/>
          <w:sz w:val="22"/>
        </w:rPr>
        <w:t>Very truly yours,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Synlogic, Inc. Accepted and Agreed To: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Tony Awad /s/ Mary Beth Dooley </w:t>
      </w:r>
    </w:p>
    <w:p>
      <w:pPr>
        <w:pStyle w:val="TextBody"/>
        <w:bidi w:val="0"/>
        <w:jc w:val="left"/>
        <w:rPr>
          <w:rFonts w:ascii="Times New Roman" w:hAnsi="Times New Roman"/>
          <w:color w:val="000000"/>
          <w:sz w:val="22"/>
        </w:rPr>
      </w:pPr>
      <w:r>
        <w:rPr>
          <w:rFonts w:ascii="Times New Roman" w:hAnsi="Times New Roman"/>
          <w:color w:val="000000"/>
          <w:sz w:val="22"/>
        </w:rPr>
        <w:t>Tony Awad, Principal Executive Officer Mary Beth Dooley</w:t>
      </w:r>
    </w:p>
    <w:p>
      <w:pPr>
        <w:pStyle w:val="TextBody"/>
        <w:bidi w:val="0"/>
        <w:jc w:val="left"/>
        <w:rPr>
          <w:rFonts w:ascii="Times New Roman" w:hAnsi="Times New Roman"/>
          <w:sz w:val="20"/>
        </w:rPr>
      </w:pPr>
      <w:r>
        <w:rPr>
          <w:rFonts w:ascii="Times New Roman" w:hAnsi="Times New Roman"/>
          <w:color w:val="000000"/>
          <w:sz w:val="22"/>
        </w:rPr>
        <w:t xml:space="preserve">Dated: </w:t>
      </w:r>
      <w:r>
        <w:rPr>
          <w:rFonts w:ascii="Times New Roman" w:hAnsi="Times New Roman"/>
          <w:color w:val="000000"/>
          <w:sz w:val="22"/>
          <w:u w:val="single"/>
        </w:rPr>
        <w:t xml:space="preserve">10/30/2024 </w:t>
      </w:r>
      <w:r>
        <w:rPr>
          <w:rFonts w:ascii="Times New Roman" w:hAnsi="Times New Roman"/>
          <w:color w:val="000000"/>
          <w:sz w:val="22"/>
        </w:rPr>
        <w:t xml:space="preserve">Dated: </w:t>
      </w:r>
      <w:r>
        <w:rPr>
          <w:rFonts w:ascii="Times New Roman" w:hAnsi="Times New Roman"/>
          <w:color w:val="000000"/>
          <w:sz w:val="22"/>
          <w:u w:val="single"/>
        </w:rPr>
        <w:t xml:space="preserve">10/30/2024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aps/>
          <w:color w:val="4472C4"/>
          <w:sz w:val="20"/>
        </w:rPr>
      </w:pPr>
      <w:r>
        <w:rPr>
          <w:rFonts w:ascii="Times New Roman" w:hAnsi="Times New Roman"/>
          <w:caps/>
          <w:color w:val="4472C4"/>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sybx-ex10_10.htm"/>
      <w:bookmarkStart w:id="29" w:name="kssybxex10_10"/>
      <w:bookmarkEnd w:id="28"/>
      <w:bookmarkEnd w:id="29"/>
      <w:r>
        <w:rPr>
          <w:rFonts w:ascii="Times New Roman" w:hAnsi="Times New Roman"/>
          <w:b/>
          <w:color w:val="000000"/>
          <w:sz w:val="20"/>
        </w:rPr>
        <w:t>Exhibit 10.10</w:t>
      </w:r>
      <w:r>
        <w:br w:type="page"/>
      </w:r>
    </w:p>
    <w:p>
      <w:pPr>
        <w:pStyle w:val="TextBody"/>
        <w:bidi w:val="0"/>
        <w:jc w:val="left"/>
        <w:rPr/>
      </w:pPr>
      <w:r>
        <w:rPr/>
        <w:drawing>
          <wp:inline distT="0" distB="0" distL="0" distR="0">
            <wp:extent cx="1524000" cy="571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571500"/>
                    </a:xfrm>
                    <a:prstGeom prst="rect">
                      <a:avLst/>
                    </a:prstGeom>
                  </pic:spPr>
                </pic:pic>
              </a:graphicData>
            </a:graphic>
          </wp:inline>
        </w:drawing>
      </w:r>
    </w:p>
    <w:p>
      <w:pPr>
        <w:pStyle w:val="TextBody"/>
        <w:bidi w:val="0"/>
        <w:jc w:val="left"/>
        <w:rPr/>
      </w:pPr>
      <w:r>
        <w:rPr/>
        <w:t> </w:t>
      </w:r>
    </w:p>
    <w:p>
      <w:pPr>
        <w:pStyle w:val="TextBody"/>
        <w:bidi w:val="0"/>
        <w:jc w:val="left"/>
        <w:rPr>
          <w:rFonts w:ascii="Source Sans Pro;sans-serif" w:hAnsi="Source Sans Pro;sans-serif"/>
          <w:b/>
          <w:color w:val="000000"/>
          <w:sz w:val="20"/>
        </w:rPr>
      </w:pPr>
      <w:r>
        <w:rPr>
          <w:rFonts w:ascii="Source Sans Pro;sans-serif" w:hAnsi="Source Sans Pro;sans-serif"/>
          <w:b/>
          <w:color w:val="000000"/>
          <w:sz w:val="20"/>
        </w:rPr>
        <w:t>Effective Date: March 1, 2024</w:t>
      </w:r>
    </w:p>
    <w:p>
      <w:pPr>
        <w:pStyle w:val="TextBody"/>
        <w:bidi w:val="0"/>
        <w:jc w:val="left"/>
        <w:rPr/>
      </w:pPr>
      <w:r>
        <w:rPr/>
        <w:t> </w:t>
      </w:r>
    </w:p>
    <w:p>
      <w:pPr>
        <w:pStyle w:val="TextBody"/>
        <w:bidi w:val="0"/>
        <w:jc w:val="left"/>
        <w:rPr>
          <w:rFonts w:ascii="Source Sans Pro;sans-serif" w:hAnsi="Source Sans Pro;sans-serif"/>
          <w:color w:val="000000"/>
          <w:sz w:val="20"/>
        </w:rPr>
      </w:pPr>
      <w:r>
        <w:rPr>
          <w:rFonts w:ascii="Source Sans Pro;sans-serif" w:hAnsi="Source Sans Pro;sans-serif"/>
          <w:color w:val="000000"/>
          <w:sz w:val="20"/>
        </w:rPr>
        <w:t>Mary Beth Dooley</w:t>
      </w:r>
    </w:p>
    <w:p>
      <w:pPr>
        <w:pStyle w:val="TextBody"/>
        <w:bidi w:val="0"/>
        <w:jc w:val="left"/>
        <w:rPr/>
      </w:pPr>
      <w:r>
        <w:rPr/>
        <w:t> </w:t>
      </w:r>
    </w:p>
    <w:p>
      <w:pPr>
        <w:pStyle w:val="TextBody"/>
        <w:bidi w:val="0"/>
        <w:jc w:val="left"/>
        <w:rPr>
          <w:rFonts w:ascii="Times New Roman" w:hAnsi="Times New Roman"/>
          <w:sz w:val="20"/>
        </w:rPr>
      </w:pPr>
      <w:r>
        <w:rPr>
          <w:rFonts w:ascii="Source Sans Pro;sans-serif" w:hAnsi="Source Sans Pro;sans-serif"/>
          <w:color w:val="000000"/>
          <w:sz w:val="20"/>
        </w:rPr>
        <w:t xml:space="preserve">Re: </w:t>
      </w:r>
      <w:r>
        <w:rPr>
          <w:rFonts w:ascii="Source Sans Pro;sans-serif" w:hAnsi="Source Sans Pro;sans-serif"/>
          <w:color w:val="000000"/>
          <w:sz w:val="20"/>
          <w:u w:val="single"/>
        </w:rPr>
        <w:t>Amendment to the Retention Agreement</w:t>
      </w:r>
    </w:p>
    <w:p>
      <w:pPr>
        <w:pStyle w:val="TextBody"/>
        <w:bidi w:val="0"/>
        <w:jc w:val="left"/>
        <w:rPr/>
      </w:pPr>
      <w:r>
        <w:rPr/>
        <w:t> </w:t>
      </w:r>
    </w:p>
    <w:p>
      <w:pPr>
        <w:pStyle w:val="TextBody"/>
        <w:bidi w:val="0"/>
        <w:jc w:val="left"/>
        <w:rPr>
          <w:rFonts w:ascii="Source Sans Pro;sans-serif" w:hAnsi="Source Sans Pro;sans-serif"/>
          <w:color w:val="000000"/>
          <w:sz w:val="20"/>
        </w:rPr>
      </w:pPr>
      <w:r>
        <w:rPr>
          <w:rFonts w:ascii="Source Sans Pro;sans-serif" w:hAnsi="Source Sans Pro;sans-serif"/>
          <w:color w:val="000000"/>
          <w:sz w:val="20"/>
        </w:rPr>
        <w:t>Dear Mary Beth:</w:t>
      </w:r>
    </w:p>
    <w:p>
      <w:pPr>
        <w:pStyle w:val="TextBody"/>
        <w:bidi w:val="0"/>
        <w:jc w:val="left"/>
        <w:rPr/>
      </w:pPr>
      <w:r>
        <w:rPr/>
        <w:t> </w:t>
      </w:r>
    </w:p>
    <w:p>
      <w:pPr>
        <w:pStyle w:val="TextBody"/>
        <w:bidi w:val="0"/>
        <w:jc w:val="both"/>
        <w:rPr>
          <w:rFonts w:ascii="Times New Roman" w:hAnsi="Times New Roman"/>
          <w:sz w:val="20"/>
        </w:rPr>
      </w:pPr>
      <w:r>
        <w:rPr>
          <w:rFonts w:ascii="Source Sans Pro;sans-serif" w:hAnsi="Source Sans Pro;sans-serif"/>
          <w:color w:val="000000"/>
          <w:sz w:val="20"/>
        </w:rPr>
        <w:t>In recognition of your value and expected contributions to Synlogic, Inc. (“the Company”) we are pleased to offer you the following Retention Bonus Agreement (the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ource Sans Pro;sans-serif" w:hAnsi="Source Sans Pro;sans-serif"/>
          <w:b/>
          <w:color w:val="000000"/>
          <w:sz w:val="20"/>
        </w:rPr>
      </w:pPr>
      <w:r>
        <w:rPr>
          <w:rFonts w:ascii="Source Sans Pro;sans-serif" w:hAnsi="Source Sans Pro;sans-serif"/>
          <w:b/>
          <w:color w:val="000000"/>
          <w:sz w:val="20"/>
        </w:rPr>
        <w:t>Retention Bonus Amount and Eligibility Conditions</w:t>
      </w:r>
    </w:p>
    <w:p>
      <w:pPr>
        <w:pStyle w:val="TextBody"/>
        <w:bidi w:val="0"/>
        <w:jc w:val="both"/>
        <w:rPr/>
      </w:pPr>
      <w:r>
        <w:rPr/>
        <w:t> </w:t>
      </w:r>
    </w:p>
    <w:p>
      <w:pPr>
        <w:pStyle w:val="TextBody"/>
        <w:bidi w:val="0"/>
        <w:jc w:val="both"/>
        <w:rPr>
          <w:rFonts w:ascii="Source Sans Pro;sans-serif" w:hAnsi="Source Sans Pro;sans-serif"/>
          <w:color w:val="000000"/>
          <w:sz w:val="20"/>
        </w:rPr>
      </w:pPr>
      <w:r>
        <w:rPr>
          <w:rFonts w:ascii="Source Sans Pro;sans-serif" w:hAnsi="Source Sans Pro;sans-serif"/>
          <w:color w:val="000000"/>
          <w:sz w:val="20"/>
        </w:rPr>
        <w:t>If you (a) remain employed by the Company and continue to provide services at a satisfactory level through December 31, 2024 (the “Termination Date”) and (b) meet the remaining conditions of this paragraph, then you will receive a Retention Bonus in the amount of 75% of your base salary for each month worked on a pro rata basis, paid as a lump sum within thirty (30) days of 12/31/2024. If you terminate your employment for any reason prior to December 31, 2024 or the Company terminates your employment for cause, then you shall not be eligible for the Retention Bonus. This bonus will be subject to all federal, state, city or other tax withholdings.</w:t>
      </w:r>
    </w:p>
    <w:p>
      <w:pPr>
        <w:pStyle w:val="TextBody"/>
        <w:bidi w:val="0"/>
        <w:jc w:val="both"/>
        <w:rPr/>
      </w:pPr>
      <w:r>
        <w:rPr/>
        <w:t> </w:t>
      </w:r>
    </w:p>
    <w:p>
      <w:pPr>
        <w:pStyle w:val="TextBody"/>
        <w:bidi w:val="0"/>
        <w:jc w:val="both"/>
        <w:rPr>
          <w:rFonts w:ascii="Source Sans Pro;sans-serif" w:hAnsi="Source Sans Pro;sans-serif"/>
          <w:b/>
          <w:color w:val="000000"/>
          <w:sz w:val="20"/>
        </w:rPr>
      </w:pPr>
      <w:r>
        <w:rPr>
          <w:rFonts w:ascii="Source Sans Pro;sans-serif" w:hAnsi="Source Sans Pro;sans-serif"/>
          <w:b/>
          <w:color w:val="000000"/>
          <w:sz w:val="20"/>
        </w:rPr>
        <w:t>Additional Terms</w:t>
      </w:r>
    </w:p>
    <w:p>
      <w:pPr>
        <w:pStyle w:val="TextBody"/>
        <w:bidi w:val="0"/>
        <w:jc w:val="both"/>
        <w:rPr/>
      </w:pPr>
      <w:r>
        <w:rPr/>
        <w:t> </w:t>
      </w:r>
    </w:p>
    <w:p>
      <w:pPr>
        <w:pStyle w:val="TextBody"/>
        <w:bidi w:val="0"/>
        <w:jc w:val="both"/>
        <w:rPr>
          <w:rFonts w:ascii="Times New Roman" w:hAnsi="Times New Roman"/>
          <w:sz w:val="20"/>
        </w:rPr>
      </w:pPr>
      <w:r>
        <w:rPr>
          <w:rFonts w:ascii="Source Sans Pro;sans-serif" w:hAnsi="Source Sans Pro;sans-serif"/>
          <w:color w:val="000000"/>
          <w:sz w:val="20"/>
        </w:rPr>
        <w:t>Nothing in this letter supersedes or in any way modifies any existing agreement(s) between you and the Company including, without limitation, any separation agreement, agreements concerning inventions assignment, protection of confidential information or trade secrets, non-solicitation of customers, clients, business or employee. This Retention Bonus is not intended and shall not be deemed a “wage” under any federal or state wage-hour law.</w:t>
      </w:r>
      <w:r>
        <w:rPr>
          <w:rFonts w:ascii="Times New Roman" w:hAnsi="Times New Roman"/>
          <w:color w:val="000000"/>
          <w:sz w:val="20"/>
        </w:rPr>
        <w:t xml:space="preserve"> </w:t>
      </w:r>
    </w:p>
    <w:p>
      <w:pPr>
        <w:pStyle w:val="TextBody"/>
        <w:bidi w:val="0"/>
        <w:spacing w:before="240" w:after="283"/>
        <w:jc w:val="both"/>
        <w:rPr>
          <w:rFonts w:ascii="Source Sans Pro;sans-serif" w:hAnsi="Source Sans Pro;sans-serif"/>
          <w:color w:val="000000"/>
          <w:sz w:val="20"/>
        </w:rPr>
      </w:pPr>
      <w:r>
        <w:rPr>
          <w:rFonts w:ascii="Source Sans Pro;sans-serif" w:hAnsi="Source Sans Pro;sans-serif"/>
          <w:color w:val="000000"/>
          <w:sz w:val="20"/>
        </w:rPr>
        <w:t>You acknowledge that payment of the Retention Bonus is not part of normal or expected compensation for purposes of calculating any severance, resignation, redundancy, end of service payments, bonuses, long-service awards, pension or retirement benefits, matching contributions or similar payments.</w:t>
      </w:r>
    </w:p>
    <w:p>
      <w:pPr>
        <w:pStyle w:val="TextBody"/>
        <w:bidi w:val="0"/>
        <w:jc w:val="both"/>
        <w:rPr/>
      </w:pPr>
      <w:r>
        <w:rPr/>
        <w:t> </w:t>
      </w:r>
    </w:p>
    <w:p>
      <w:pPr>
        <w:pStyle w:val="TextBody"/>
        <w:bidi w:val="0"/>
        <w:jc w:val="both"/>
        <w:rPr>
          <w:rFonts w:ascii="Source Sans Pro;sans-serif" w:hAnsi="Source Sans Pro;sans-serif"/>
          <w:color w:val="000000"/>
          <w:sz w:val="20"/>
        </w:rPr>
      </w:pPr>
      <w:r>
        <w:rPr>
          <w:rFonts w:ascii="Source Sans Pro;sans-serif" w:hAnsi="Source Sans Pro;sans-serif"/>
          <w:color w:val="000000"/>
          <w:sz w:val="20"/>
        </w:rPr>
        <w:t>The validity, interpretation and performance of this Agreement shall, in all respects, be governed by the laws of the Commonwealth of Massachusetts. No provision of this Agreement may be modified, altered or amended, except in a writing signed by both you and an authorized Officer of the Company. The Company may assign or delegate this Agreement or any of its rights or obligations hereunder to a person or entity that is an affiliate of or successor to the Company.</w:t>
      </w:r>
    </w:p>
    <w:p>
      <w:pPr>
        <w:pStyle w:val="TextBody"/>
        <w:bidi w:val="0"/>
        <w:jc w:val="both"/>
        <w:rPr/>
      </w:pPr>
      <w:r>
        <w:rPr/>
        <w:t> </w:t>
      </w:r>
    </w:p>
    <w:p>
      <w:pPr>
        <w:pStyle w:val="TextBody"/>
        <w:bidi w:val="0"/>
        <w:jc w:val="both"/>
        <w:rPr>
          <w:rFonts w:ascii="Times New Roman" w:hAnsi="Times New Roman"/>
          <w:sz w:val="20"/>
        </w:rPr>
      </w:pPr>
      <w:r>
        <w:rPr>
          <w:rFonts w:ascii="Source Sans Pro;sans-serif" w:hAnsi="Source Sans Pro;sans-serif"/>
          <w:color w:val="000000"/>
          <w:sz w:val="20"/>
        </w:rPr>
        <w:t>On behalf of Synlogic, I want to thank you in advance for your efforts in helping the Company. Please confirm your understanding and agreement to the terms and conditions of this Agreement by signing and returning the enclosed copy of this letter.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120"/>
        <w:jc w:val="left"/>
        <w:rPr>
          <w:rFonts w:ascii="Times New Roman" w:hAnsi="Times New Roman"/>
          <w:sz w:val="20"/>
        </w:rPr>
      </w:pPr>
      <w:r>
        <w:rPr>
          <w:rFonts w:ascii="Source Sans Pro;sans-serif" w:hAnsi="Source Sans Pro;sans-serif"/>
          <w:color w:val="000000"/>
          <w:sz w:val="20"/>
        </w:rPr>
        <w:t>Sincerely,</w:t>
      </w:r>
      <w:r>
        <w:rPr>
          <w:rFonts w:ascii="Times New Roman" w:hAnsi="Times New Roman"/>
          <w:color w:val="000000"/>
          <w:sz w:val="20"/>
        </w:rPr>
        <w:t xml:space="preserve"> </w:t>
      </w:r>
    </w:p>
    <w:p>
      <w:pPr>
        <w:pStyle w:val="TextBody"/>
        <w:bidi w:val="0"/>
        <w:spacing w:before="0" w:after="120"/>
        <w:jc w:val="left"/>
        <w:rPr>
          <w:rFonts w:ascii="Source Sans Pro;sans-serif" w:hAnsi="Source Sans Pro;sans-serif"/>
          <w:color w:val="000000"/>
          <w:sz w:val="20"/>
        </w:rPr>
      </w:pPr>
      <w:r>
        <w:rPr>
          <w:rFonts w:ascii="Source Sans Pro;sans-serif" w:hAnsi="Source Sans Pro;sans-serif"/>
          <w:color w:val="000000"/>
          <w:sz w:val="20"/>
        </w:rPr>
        <w:t>SYNLOGIC, INC.</w:t>
      </w:r>
    </w:p>
    <w:p>
      <w:pPr>
        <w:pStyle w:val="TextBody"/>
        <w:bidi w:val="0"/>
        <w:spacing w:before="0" w:after="120"/>
        <w:jc w:val="left"/>
        <w:rPr>
          <w:rFonts w:ascii="Source Sans Pro;sans-serif" w:hAnsi="Source Sans Pro;sans-serif"/>
          <w:color w:val="000000"/>
          <w:sz w:val="20"/>
        </w:rPr>
      </w:pPr>
      <w:r>
        <w:rPr>
          <w:rFonts w:ascii="Source Sans Pro;sans-serif" w:hAnsi="Source Sans Pro;sans-serif"/>
          <w:color w:val="000000"/>
          <w:sz w:val="20"/>
        </w:rPr>
        <w:t xml:space="preserve">By: </w:t>
      </w:r>
    </w:p>
    <w:p>
      <w:pPr>
        <w:pStyle w:val="TextBody"/>
        <w:bidi w:val="0"/>
        <w:spacing w:before="0" w:after="120"/>
        <w:jc w:val="left"/>
        <w:rPr>
          <w:rFonts w:ascii="Source Sans Pro;sans-serif" w:hAnsi="Source Sans Pro;sans-serif"/>
          <w:color w:val="000000"/>
          <w:sz w:val="20"/>
          <w:u w:val="single"/>
        </w:rPr>
      </w:pPr>
      <w:r>
        <w:rPr>
          <w:rFonts w:ascii="Source Sans Pro;sans-serif" w:hAnsi="Source Sans Pro;sans-serif"/>
          <w:color w:val="000000"/>
          <w:sz w:val="20"/>
          <w:u w:val="single"/>
        </w:rPr>
        <w:t xml:space="preserve">/s/ Tony Awad </w:t>
      </w:r>
    </w:p>
    <w:p>
      <w:pPr>
        <w:pStyle w:val="TextBody"/>
        <w:bidi w:val="0"/>
        <w:spacing w:before="0" w:after="120"/>
        <w:jc w:val="left"/>
        <w:rPr>
          <w:rFonts w:ascii="Source Sans Pro;sans-serif" w:hAnsi="Source Sans Pro;sans-serif"/>
          <w:color w:val="000000"/>
          <w:sz w:val="20"/>
        </w:rPr>
      </w:pPr>
      <w:r>
        <w:rPr>
          <w:rFonts w:ascii="Source Sans Pro;sans-serif" w:hAnsi="Source Sans Pro;sans-serif"/>
          <w:color w:val="000000"/>
          <w:sz w:val="20"/>
        </w:rPr>
        <w:t>Name: Tony Awad</w:t>
      </w:r>
    </w:p>
    <w:p>
      <w:pPr>
        <w:pStyle w:val="TextBody"/>
        <w:bidi w:val="0"/>
        <w:spacing w:before="0" w:after="120"/>
        <w:jc w:val="left"/>
        <w:rPr>
          <w:rFonts w:ascii="Source Sans Pro;sans-serif" w:hAnsi="Source Sans Pro;sans-serif"/>
          <w:color w:val="000000"/>
          <w:sz w:val="20"/>
        </w:rPr>
      </w:pPr>
      <w:r>
        <w:rPr>
          <w:rFonts w:ascii="Source Sans Pro;sans-serif" w:hAnsi="Source Sans Pro;sans-serif"/>
          <w:color w:val="000000"/>
          <w:sz w:val="20"/>
        </w:rPr>
        <w:t>Title: Principal Executive Officer</w:t>
      </w:r>
    </w:p>
    <w:p>
      <w:pPr>
        <w:pStyle w:val="TextBody"/>
        <w:bidi w:val="0"/>
        <w:spacing w:before="0" w:after="120"/>
        <w:jc w:val="left"/>
        <w:rPr/>
      </w:pPr>
      <w:r>
        <w:rPr/>
        <w:t> </w:t>
      </w:r>
    </w:p>
    <w:p>
      <w:pPr>
        <w:pStyle w:val="TextBody"/>
        <w:bidi w:val="0"/>
        <w:spacing w:before="0" w:after="120"/>
        <w:jc w:val="left"/>
        <w:rPr>
          <w:rFonts w:ascii="Source Sans Pro;sans-serif" w:hAnsi="Source Sans Pro;sans-serif"/>
          <w:color w:val="000000"/>
          <w:sz w:val="20"/>
        </w:rPr>
      </w:pPr>
      <w:r>
        <w:rPr>
          <w:rFonts w:ascii="Source Sans Pro;sans-serif" w:hAnsi="Source Sans Pro;sans-serif"/>
          <w:color w:val="000000"/>
          <w:sz w:val="20"/>
        </w:rPr>
        <w:t>Accepted and Approved:</w:t>
      </w:r>
    </w:p>
    <w:p>
      <w:pPr>
        <w:pStyle w:val="TextBody"/>
        <w:bidi w:val="0"/>
        <w:spacing w:before="0" w:after="120"/>
        <w:jc w:val="left"/>
        <w:rPr/>
      </w:pPr>
      <w:r>
        <w:rPr/>
        <w:t> </w:t>
      </w:r>
    </w:p>
    <w:p>
      <w:pPr>
        <w:pStyle w:val="TextBody"/>
        <w:bidi w:val="0"/>
        <w:spacing w:before="0" w:after="120"/>
        <w:jc w:val="left"/>
        <w:rPr>
          <w:rFonts w:ascii="Source Sans Pro;sans-serif" w:hAnsi="Source Sans Pro;sans-serif"/>
          <w:color w:val="000000"/>
          <w:sz w:val="20"/>
          <w:u w:val="single"/>
        </w:rPr>
      </w:pPr>
      <w:r>
        <w:rPr>
          <w:rFonts w:ascii="Source Sans Pro;sans-serif" w:hAnsi="Source Sans Pro;sans-serif"/>
          <w:color w:val="000000"/>
          <w:sz w:val="20"/>
          <w:u w:val="single"/>
        </w:rPr>
        <w:t xml:space="preserve">/s/ Mary Beth Dooley </w:t>
      </w:r>
    </w:p>
    <w:p>
      <w:pPr>
        <w:pStyle w:val="TextBody"/>
        <w:bidi w:val="0"/>
        <w:spacing w:before="0" w:after="120"/>
        <w:jc w:val="left"/>
        <w:rPr>
          <w:rFonts w:ascii="Source Sans Pro;sans-serif" w:hAnsi="Source Sans Pro;sans-serif"/>
          <w:color w:val="000000"/>
          <w:sz w:val="20"/>
        </w:rPr>
      </w:pPr>
      <w:r>
        <w:rPr>
          <w:rFonts w:ascii="Source Sans Pro;sans-serif" w:hAnsi="Source Sans Pro;sans-serif"/>
          <w:color w:val="000000"/>
          <w:sz w:val="20"/>
        </w:rPr>
        <w:t>Name: Mary Beth Dooley</w:t>
      </w:r>
    </w:p>
    <w:p>
      <w:pPr>
        <w:pStyle w:val="TextBody"/>
        <w:bidi w:val="0"/>
        <w:spacing w:before="0" w:after="120"/>
        <w:jc w:val="left"/>
        <w:rPr>
          <w:rFonts w:ascii="Times New Roman" w:hAnsi="Times New Roman"/>
          <w:sz w:val="20"/>
        </w:rPr>
      </w:pPr>
      <w:r>
        <w:rPr>
          <w:rFonts w:ascii="Source Sans Pro;sans-serif" w:hAnsi="Source Sans Pro;sans-serif"/>
          <w:color w:val="000000"/>
          <w:sz w:val="20"/>
        </w:rPr>
        <w:t xml:space="preserve">Date: </w:t>
      </w:r>
      <w:r>
        <w:rPr>
          <w:rFonts w:ascii="Source Sans Pro;sans-serif" w:hAnsi="Source Sans Pro;sans-serif"/>
          <w:color w:val="000000"/>
          <w:sz w:val="20"/>
          <w:u w:val="single"/>
        </w:rPr>
        <w:t xml:space="preserve">10/30/2024 </w:t>
      </w:r>
    </w:p>
    <w:p>
      <w:pPr>
        <w:pStyle w:val="HorizontalLine"/>
        <w:pBdr>
          <w:bottom w:val="double" w:sz="2" w:space="0" w:color="808080"/>
        </w:pBdr>
        <w:bidi w:val="0"/>
        <w:spacing w:before="0" w:after="283"/>
        <w:jc w:val="left"/>
        <w:rPr/>
      </w:pPr>
      <w:r>
        <w:rPr/>
      </w:r>
    </w:p>
    <w:p>
      <w:pPr>
        <w:pStyle w:val="TextBody"/>
        <w:bidi w:val="0"/>
        <w:jc w:val="left"/>
        <w:rPr/>
      </w:pPr>
      <w:bookmarkStart w:id="30" w:name="sybx-ex31_1.htm"/>
      <w:bookmarkStart w:id="31" w:name="kssybxex31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PURSUANT</w:t>
      </w:r>
    </w:p>
    <w:p>
      <w:pPr>
        <w:pStyle w:val="TextBody"/>
        <w:bidi w:val="0"/>
        <w:jc w:val="center"/>
        <w:rPr>
          <w:rFonts w:ascii="Times New Roman" w:hAnsi="Times New Roman"/>
          <w:b/>
          <w:color w:val="000000"/>
          <w:sz w:val="20"/>
        </w:rPr>
      </w:pPr>
      <w:r>
        <w:rPr>
          <w:rFonts w:ascii="Times New Roman" w:hAnsi="Times New Roman"/>
          <w:b/>
          <w:color w:val="000000"/>
          <w:sz w:val="20"/>
        </w:rPr>
        <w:t>TO RULES 13a-14(a) AND 15d-14(a) UNDER</w:t>
      </w:r>
    </w:p>
    <w:p>
      <w:pPr>
        <w:pStyle w:val="TextBody"/>
        <w:bidi w:val="0"/>
        <w:jc w:val="center"/>
        <w:rPr>
          <w:rFonts w:ascii="Times New Roman" w:hAnsi="Times New Roman"/>
          <w:sz w:val="20"/>
        </w:rPr>
      </w:pPr>
      <w:r>
        <w:rPr>
          <w:rFonts w:ascii="Times New Roman" w:hAnsi="Times New Roman"/>
          <w:b/>
          <w:color w:val="000000"/>
          <w:sz w:val="20"/>
        </w:rPr>
        <w:t>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Antoine Awad,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Synlogic,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2024</w:t>
      </w:r>
    </w:p>
    <w:p>
      <w:pPr>
        <w:pStyle w:val="TextBody"/>
        <w:bidi w:val="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ANTOINE AWAD</w:t>
            </w:r>
          </w:p>
        </w:tc>
      </w:tr>
      <w:tr>
        <w:trPr/>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Antoine Awad</w:t>
            </w:r>
          </w:p>
        </w:tc>
      </w:tr>
      <w:tr>
        <w:trPr/>
        <w:tc>
          <w:tcPr>
            <w:tcW w:w="252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252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sybx-ex31_2.htm"/>
      <w:bookmarkStart w:id="33" w:name="kssybxex31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 PURSUANT</w:t>
      </w:r>
    </w:p>
    <w:p>
      <w:pPr>
        <w:pStyle w:val="TextBody"/>
        <w:bidi w:val="0"/>
        <w:jc w:val="center"/>
        <w:rPr>
          <w:rFonts w:ascii="Times New Roman" w:hAnsi="Times New Roman"/>
          <w:b/>
          <w:color w:val="000000"/>
          <w:sz w:val="20"/>
        </w:rPr>
      </w:pPr>
      <w:r>
        <w:rPr>
          <w:rFonts w:ascii="Times New Roman" w:hAnsi="Times New Roman"/>
          <w:b/>
          <w:color w:val="000000"/>
          <w:sz w:val="20"/>
        </w:rPr>
        <w:t>TO RULES 13a-14(a) AND 15d-14(a)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Mary Beth Dooley,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Synlogic,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2024</w:t>
      </w:r>
    </w:p>
    <w:p>
      <w:pPr>
        <w:pStyle w:val="TextBody"/>
        <w:bidi w:val="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BETH DOOLEY</w:t>
            </w:r>
          </w:p>
        </w:tc>
      </w:tr>
      <w:tr>
        <w:trPr/>
        <w:tc>
          <w:tcPr>
            <w:tcW w:w="25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253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Head of Finance</w:t>
            </w:r>
          </w:p>
        </w:tc>
      </w:tr>
      <w:tr>
        <w:trPr/>
        <w:tc>
          <w:tcPr>
            <w:tcW w:w="253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sybx-ex32_1.htm"/>
      <w:bookmarkStart w:id="35" w:name="kssybxex32_1"/>
      <w:bookmarkEnd w:id="34"/>
      <w:bookmarkEnd w:id="35"/>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Synlogic, Inc. (the “Company”) on Form 10-Q for the quarterly period ended September 30, 2024, as filed with the Securities and Exchange Commission on the date hereof (the “Report”), I, Antoine Awad, Principal Executive Officer of the Company, certify, pursuant to 18 U.S.C. Section 1350, as adopted pursuant to Section 906 of the Sarbanes-Oxley Act of 2002, to the best of my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ANTOINE AWAD</w:t>
            </w:r>
          </w:p>
        </w:tc>
      </w:tr>
      <w:tr>
        <w:trPr/>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Antoine Awad</w:t>
            </w:r>
          </w:p>
        </w:tc>
      </w:tr>
      <w:tr>
        <w:trPr/>
        <w:tc>
          <w:tcPr>
            <w:tcW w:w="2521" w:type="dxa"/>
            <w:tcBorders/>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tc>
      </w:tr>
      <w:tr>
        <w:trPr/>
        <w:tc>
          <w:tcPr>
            <w:tcW w:w="252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November 12,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sybx-ex32_2.htm"/>
      <w:bookmarkStart w:id="37" w:name="kssybxex32_2"/>
      <w:bookmarkEnd w:id="36"/>
      <w:bookmarkEnd w:id="37"/>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Synlogic, Inc. (the “Company”) on Form 10-Q for the quarterly period ended September 30, 2024, as filed with the Securities and Exchange Commission on the date hereof (the “Report”), I, Mary Beth Dooley, Head of Finance of the Company, certify, pursuant to 18 U.S.C. Section 1350, as adopted pursuant to Section 906 of the Sarbanes-Oxley Act of 2002, to the best of my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BETH DOOLEY</w:t>
            </w:r>
          </w:p>
        </w:tc>
      </w:tr>
      <w:tr>
        <w:trPr/>
        <w:tc>
          <w:tcPr>
            <w:tcW w:w="25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 Beth Dooley</w:t>
            </w:r>
          </w:p>
        </w:tc>
      </w:tr>
      <w:tr>
        <w:trPr/>
        <w:tc>
          <w:tcPr>
            <w:tcW w:w="253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Head of Finance</w:t>
            </w:r>
          </w:p>
        </w:tc>
      </w:tr>
      <w:tr>
        <w:trPr/>
        <w:tc>
          <w:tcPr>
            <w:tcW w:w="253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November 12,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ource Sans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60900</Words>
  <Characters>337976</Characters>
  <CharactersWithSpaces>399789</CharactersWithSpaces>
  <Paragraphs>6934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