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2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89" w:lineRule="exact"/>
        <w:rPr>
          <w:sz w:val="24"/>
          <w:szCs w:val="24"/>
          <w:color w:val="auto"/>
        </w:rPr>
      </w:pPr>
    </w:p>
    <w:p>
      <w:pPr>
        <w:ind w:left="520" w:right="24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1440" w:type="dxa"/>
        <w:tblCellMar>
          <w:top w:w="0" w:type="dxa"/>
          <w:left w:w="0" w:type="dxa"/>
          <w:bottom w:w="0" w:type="dxa"/>
          <w:right w:w="0" w:type="dxa"/>
        </w:tblCellMar>
      </w:tblPr>
      <w:tr>
        <w:trPr>
          <w:trHeight w:val="238"/>
        </w:trPr>
        <w:tc>
          <w:tcPr>
            <w:tcW w:w="6540" w:type="dxa"/>
            <w:vAlign w:val="bottom"/>
            <w:gridSpan w:val="3"/>
          </w:tcPr>
          <w:p>
            <w:pPr>
              <w:jc w:val="center"/>
              <w:ind w:left="1905"/>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540" w:type="dxa"/>
            <w:vAlign w:val="bottom"/>
            <w:gridSpan w:val="3"/>
          </w:tcPr>
          <w:p>
            <w:pPr>
              <w:jc w:val="center"/>
              <w:ind w:left="1905"/>
              <w:spacing w:after="0"/>
              <w:rPr>
                <w:sz w:val="20"/>
                <w:szCs w:val="20"/>
                <w:color w:val="auto"/>
              </w:rPr>
            </w:pPr>
            <w:r>
              <w:rPr>
                <w:rFonts w:ascii="Times New Roman" w:cs="Times New Roman" w:eastAsia="Times New Roman" w:hAnsi="Times New Roman"/>
                <w:sz w:val="18"/>
                <w:szCs w:val="18"/>
                <w:b w:val="1"/>
                <w:bCs w:val="1"/>
                <w:color w:val="auto"/>
                <w:w w:val="99"/>
              </w:rPr>
              <w:t>Commission File No. 001-37566</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0"/>
        </w:trPr>
        <w:tc>
          <w:tcPr>
            <w:tcW w:w="6540" w:type="dxa"/>
            <w:vAlign w:val="bottom"/>
            <w:gridSpan w:val="3"/>
          </w:tcPr>
          <w:p>
            <w:pPr>
              <w:jc w:val="center"/>
              <w:ind w:left="1905"/>
              <w:spacing w:after="0"/>
              <w:rPr>
                <w:sz w:val="20"/>
                <w:szCs w:val="20"/>
                <w:color w:val="auto"/>
              </w:rPr>
            </w:pPr>
            <w:r>
              <w:rPr>
                <w:rFonts w:ascii="Times New Roman" w:cs="Times New Roman" w:eastAsia="Times New Roman" w:hAnsi="Times New Roman"/>
                <w:sz w:val="43"/>
                <w:szCs w:val="43"/>
                <w:b w:val="1"/>
                <w:bCs w:val="1"/>
                <w:color w:val="auto"/>
              </w:rPr>
              <w:t>SYNLOGIC, INC.</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540" w:type="dxa"/>
            <w:vAlign w:val="bottom"/>
            <w:gridSpan w:val="3"/>
          </w:tcPr>
          <w:p>
            <w:pPr>
              <w:jc w:val="center"/>
              <w:ind w:left="1905"/>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vMerge w:val="restart"/>
          </w:tcPr>
          <w:p>
            <w:pPr>
              <w:jc w:val="center"/>
              <w:ind w:right="66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80" w:type="dxa"/>
            <w:vAlign w:val="bottom"/>
            <w:tcBorders>
              <w:bottom w:val="single" w:sz="8" w:color="auto"/>
            </w:tcBorders>
          </w:tcPr>
          <w:p>
            <w:pPr>
              <w:spacing w:after="0"/>
              <w:rPr>
                <w:sz w:val="19"/>
                <w:szCs w:val="19"/>
                <w:color w:val="auto"/>
              </w:rPr>
            </w:pPr>
          </w:p>
        </w:tc>
        <w:tc>
          <w:tcPr>
            <w:tcW w:w="1120" w:type="dxa"/>
            <w:vAlign w:val="bottom"/>
            <w:vMerge w:val="restart"/>
          </w:tcPr>
          <w:p>
            <w:pPr>
              <w:spacing w:after="0"/>
              <w:rPr>
                <w:sz w:val="19"/>
                <w:szCs w:val="19"/>
                <w:color w:val="auto"/>
              </w:rPr>
            </w:pPr>
          </w:p>
        </w:tc>
        <w:tc>
          <w:tcPr>
            <w:tcW w:w="1400" w:type="dxa"/>
            <w:vAlign w:val="bottom"/>
            <w:vMerge w:val="restart"/>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26-1824804</w:t>
            </w:r>
          </w:p>
        </w:tc>
        <w:tc>
          <w:tcPr>
            <w:tcW w:w="0" w:type="dxa"/>
            <w:vAlign w:val="bottom"/>
          </w:tcPr>
          <w:p>
            <w:pPr>
              <w:spacing w:after="0"/>
              <w:rPr>
                <w:sz w:val="1"/>
                <w:szCs w:val="1"/>
                <w:color w:val="auto"/>
              </w:rPr>
            </w:pPr>
          </w:p>
        </w:tc>
      </w:tr>
      <w:tr>
        <w:trPr>
          <w:trHeight w:val="185"/>
        </w:trPr>
        <w:tc>
          <w:tcPr>
            <w:tcW w:w="314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540" w:type="dxa"/>
            <w:vAlign w:val="bottom"/>
            <w:gridSpan w:val="3"/>
          </w:tcPr>
          <w:p>
            <w:pPr>
              <w:jc w:val="center"/>
              <w:ind w:right="41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0" w:type="dxa"/>
            <w:vAlign w:val="bottom"/>
          </w:tcPr>
          <w:p>
            <w:pPr>
              <w:jc w:val="center"/>
              <w:ind w:left="1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540" w:type="dxa"/>
            <w:vAlign w:val="bottom"/>
            <w:gridSpan w:val="3"/>
          </w:tcPr>
          <w:p>
            <w:pPr>
              <w:jc w:val="center"/>
              <w:ind w:right="4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3"/>
        </w:trPr>
        <w:tc>
          <w:tcPr>
            <w:tcW w:w="6540" w:type="dxa"/>
            <w:vAlign w:val="bottom"/>
            <w:gridSpan w:val="3"/>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301 Binney St., Suite 402</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540" w:type="dxa"/>
            <w:vAlign w:val="bottom"/>
            <w:gridSpan w:val="3"/>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14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02142</w:t>
            </w:r>
          </w:p>
        </w:tc>
        <w:tc>
          <w:tcPr>
            <w:tcW w:w="0" w:type="dxa"/>
            <w:vAlign w:val="bottom"/>
          </w:tcPr>
          <w:p>
            <w:pPr>
              <w:spacing w:after="0"/>
              <w:rPr>
                <w:sz w:val="1"/>
                <w:szCs w:val="1"/>
                <w:color w:val="auto"/>
              </w:rPr>
            </w:pPr>
          </w:p>
        </w:tc>
      </w:tr>
      <w:tr>
        <w:trPr>
          <w:trHeight w:val="151"/>
        </w:trPr>
        <w:tc>
          <w:tcPr>
            <w:tcW w:w="6540" w:type="dxa"/>
            <w:vAlign w:val="bottom"/>
            <w:gridSpan w:val="3"/>
          </w:tcPr>
          <w:p>
            <w:pPr>
              <w:jc w:val="center"/>
              <w:ind w:right="4160"/>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0" w:type="dxa"/>
            <w:vAlign w:val="bottom"/>
          </w:tcPr>
          <w:p>
            <w:pPr>
              <w:jc w:val="center"/>
              <w:ind w:left="181"/>
              <w:spacing w:after="0" w:line="151"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4"/>
        </w:trPr>
        <w:tc>
          <w:tcPr>
            <w:tcW w:w="5420" w:type="dxa"/>
            <w:vAlign w:val="bottom"/>
            <w:gridSpan w:val="2"/>
          </w:tcPr>
          <w:p>
            <w:pPr>
              <w:jc w:val="center"/>
              <w:ind w:left="3045"/>
              <w:spacing w:after="0"/>
              <w:rPr>
                <w:sz w:val="20"/>
                <w:szCs w:val="20"/>
                <w:color w:val="auto"/>
              </w:rPr>
            </w:pPr>
            <w:r>
              <w:rPr>
                <w:rFonts w:ascii="Times New Roman" w:cs="Times New Roman" w:eastAsia="Times New Roman" w:hAnsi="Times New Roman"/>
                <w:sz w:val="18"/>
                <w:szCs w:val="18"/>
                <w:b w:val="1"/>
                <w:bCs w:val="1"/>
                <w:color w:val="auto"/>
                <w:w w:val="99"/>
              </w:rPr>
              <w:t>(617) 401-9975</w:t>
            </w: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40" w:type="dxa"/>
            <w:vAlign w:val="bottom"/>
            <w:gridSpan w:val="3"/>
          </w:tcPr>
          <w:p>
            <w:pPr>
              <w:jc w:val="center"/>
              <w:ind w:left="190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4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0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51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4" w:lineRule="exact"/>
        <w:rPr>
          <w:sz w:val="24"/>
          <w:szCs w:val="24"/>
          <w:color w:val="auto"/>
        </w:rPr>
      </w:pPr>
    </w:p>
    <w:tbl>
      <w:tblPr>
        <w:tblLayout w:type="fixed"/>
        <w:tblInd w:w="570" w:type="dxa"/>
        <w:tblCellMar>
          <w:top w:w="0" w:type="dxa"/>
          <w:left w:w="0" w:type="dxa"/>
          <w:bottom w:w="0" w:type="dxa"/>
          <w:right w:w="0" w:type="dxa"/>
        </w:tblCellMar>
      </w:tblPr>
      <w:tr>
        <w:trPr>
          <w:trHeight w:val="216"/>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exchange on which registered</w:t>
            </w:r>
          </w:p>
        </w:tc>
      </w:tr>
      <w:tr>
        <w:trPr>
          <w:trHeight w:val="196"/>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SYBX</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2, 2019, there were 25,388,643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76" w:right="3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FORWARD-LOOKING STATEMENTS</w:t>
      </w:r>
    </w:p>
    <w:p>
      <w:pPr>
        <w:spacing w:after="0" w:line="229"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97"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1A. “Risk Factors”.</w:t>
      </w:r>
    </w:p>
    <w:p>
      <w:pPr>
        <w:spacing w:after="0" w:line="225"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4"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SYNLOGIC, INC.</w:t>
      </w:r>
    </w:p>
    <w:p>
      <w:pPr>
        <w:spacing w:after="0" w:line="1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58"/>
        </w:trPr>
        <w:tc>
          <w:tcPr>
            <w:tcW w:w="104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Balance Sheets</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Statements of Operations</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Consolidated Statements of Stockholders’ Equity</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Statements of Cash Flows</w:t>
              </w:r>
            </w:hyperlink>
          </w:p>
        </w:tc>
        <w:tc>
          <w:tcPr>
            <w:tcW w:w="5520" w:type="dxa"/>
            <w:vAlign w:val="bottom"/>
            <w:gridSpan w:val="4"/>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Unaudited Consolidated Financial Statements</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8"/>
        </w:trPr>
        <w:tc>
          <w:tcPr>
            <w:tcW w:w="26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1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260" w:type="dxa"/>
            <w:vAlign w:val="bottom"/>
          </w:tcPr>
          <w:p>
            <w:pPr>
              <w:spacing w:after="0"/>
              <w:rPr>
                <w:sz w:val="24"/>
                <w:szCs w:val="24"/>
                <w:color w:val="auto"/>
              </w:rPr>
            </w:pPr>
          </w:p>
        </w:tc>
        <w:tc>
          <w:tcPr>
            <w:tcW w:w="2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 Controls and Procedures</w:t>
              </w:r>
            </w:hyperlink>
          </w:p>
        </w:tc>
        <w:tc>
          <w:tcPr>
            <w:tcW w:w="7840" w:type="dxa"/>
            <w:vAlign w:val="bottom"/>
            <w:gridSpan w:val="10"/>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58"/>
        </w:trPr>
        <w:tc>
          <w:tcPr>
            <w:tcW w:w="104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Item 1. Legal Proceedings</w:t>
              </w:r>
            </w:hyperlink>
          </w:p>
        </w:tc>
        <w:tc>
          <w:tcPr>
            <w:tcW w:w="8300" w:type="dxa"/>
            <w:vAlign w:val="bottom"/>
            <w:gridSpan w:val="12"/>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2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Item 1A. Risk Factors</w:t>
              </w:r>
            </w:hyperlink>
          </w:p>
        </w:tc>
        <w:tc>
          <w:tcPr>
            <w:tcW w:w="8600" w:type="dxa"/>
            <w:vAlign w:val="bottom"/>
            <w:gridSpan w:val="14"/>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26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Item 2. Unregistered Sales of Equity Securities and Use of Proceeds</w:t>
              </w:r>
            </w:hyperlink>
          </w:p>
        </w:tc>
        <w:tc>
          <w:tcPr>
            <w:tcW w:w="5280" w:type="dxa"/>
            <w:vAlign w:val="bottom"/>
            <w:gridSpan w:val="2"/>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8"/>
        </w:trPr>
        <w:tc>
          <w:tcPr>
            <w:tcW w:w="260" w:type="dxa"/>
            <w:vAlign w:val="bottom"/>
          </w:tcPr>
          <w:p>
            <w:pPr>
              <w:spacing w:after="0"/>
              <w:rPr>
                <w:sz w:val="24"/>
                <w:szCs w:val="24"/>
                <w:color w:val="auto"/>
              </w:rPr>
            </w:pPr>
          </w:p>
        </w:tc>
        <w:tc>
          <w:tcPr>
            <w:tcW w:w="540" w:type="dxa"/>
            <w:vAlign w:val="bottom"/>
            <w:gridSpan w:val="2"/>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Item 3.</w:t>
              </w:r>
            </w:hyperlink>
          </w:p>
        </w:tc>
        <w:tc>
          <w:tcPr>
            <w:tcW w:w="9660" w:type="dxa"/>
            <w:vAlign w:val="bottom"/>
            <w:gridSpan w:val="16"/>
          </w:tcPr>
          <w:p>
            <w:pPr>
              <w:ind w:lef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Defaults Upon Senior Securities</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8"/>
        </w:trPr>
        <w:tc>
          <w:tcPr>
            <w:tcW w:w="26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Item 4.</w:t>
              </w:r>
            </w:hyperlink>
          </w:p>
        </w:tc>
        <w:tc>
          <w:tcPr>
            <w:tcW w:w="1800" w:type="dxa"/>
            <w:vAlign w:val="bottom"/>
            <w:tcBorders>
              <w:top w:val="single" w:sz="8" w:color="0000EE"/>
              <w:bottom w:val="single" w:sz="8" w:color="0000EE"/>
            </w:tcBorders>
            <w:gridSpan w:val="5"/>
          </w:tcPr>
          <w:p>
            <w:pPr>
              <w:ind w:left="20"/>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320" w:type="dxa"/>
            <w:vAlign w:val="bottom"/>
            <w:gridSpan w:val="9"/>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8"/>
        </w:trPr>
        <w:tc>
          <w:tcPr>
            <w:tcW w:w="26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Item 5.</w:t>
              </w:r>
            </w:hyperlink>
          </w:p>
        </w:tc>
        <w:tc>
          <w:tcPr>
            <w:tcW w:w="1340" w:type="dxa"/>
            <w:vAlign w:val="bottom"/>
            <w:tcBorders>
              <w:bottom w:val="single" w:sz="8" w:color="0000EE"/>
            </w:tcBorders>
            <w:gridSpan w:val="3"/>
          </w:tcPr>
          <w:p>
            <w:pPr>
              <w:ind w:left="20"/>
              <w:spacing w:after="0"/>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Other Information</w:t>
              </w:r>
            </w:hyperlink>
          </w:p>
        </w:tc>
        <w:tc>
          <w:tcPr>
            <w:tcW w:w="8320" w:type="dxa"/>
            <w:vAlign w:val="bottom"/>
            <w:gridSpan w:val="13"/>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8"/>
        </w:trPr>
        <w:tc>
          <w:tcPr>
            <w:tcW w:w="260" w:type="dxa"/>
            <w:vAlign w:val="bottom"/>
          </w:tcPr>
          <w:p>
            <w:pPr>
              <w:spacing w:after="0"/>
              <w:rPr>
                <w:sz w:val="24"/>
                <w:szCs w:val="24"/>
                <w:color w:val="auto"/>
              </w:rPr>
            </w:pPr>
          </w:p>
        </w:tc>
        <w:tc>
          <w:tcPr>
            <w:tcW w:w="540" w:type="dxa"/>
            <w:vAlign w:val="bottom"/>
            <w:gridSpan w:val="2"/>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6.</w:t>
              </w:r>
            </w:hyperlink>
          </w:p>
        </w:tc>
        <w:tc>
          <w:tcPr>
            <w:tcW w:w="9660" w:type="dxa"/>
            <w:vAlign w:val="bottom"/>
            <w:gridSpan w:val="16"/>
          </w:tcPr>
          <w:p>
            <w:pPr>
              <w:ind w:lef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Exhibits</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216"/>
        </w:trPr>
        <w:tc>
          <w:tcPr>
            <w:tcW w:w="260" w:type="dxa"/>
            <w:vAlign w:val="bottom"/>
            <w:tcBorders>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520"/>
          </w:cols>
          <w:pgMar w:left="240" w:top="117" w:right="1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75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r>
      <w:tr>
        <w:trPr>
          <w:trHeight w:val="22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80" w:type="dxa"/>
            <w:vAlign w:val="bottom"/>
            <w:shd w:val="clear" w:color="auto" w:fill="CFF0FC"/>
          </w:tcPr>
          <w:p>
            <w:pPr>
              <w:spacing w:after="0"/>
              <w:rPr>
                <w:sz w:val="19"/>
                <w:szCs w:val="19"/>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111,477</w:t>
            </w: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8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113,792</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124,338</w:t>
            </w:r>
          </w:p>
        </w:tc>
        <w:tc>
          <w:tcPr>
            <w:tcW w:w="28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19"/>
                <w:szCs w:val="19"/>
                <w:color w:val="auto"/>
              </w:rPr>
            </w:pPr>
          </w:p>
        </w:tc>
      </w:tr>
      <w:tr>
        <w:trPr>
          <w:trHeight w:val="263"/>
        </w:trPr>
        <w:tc>
          <w:tcPr>
            <w:tcW w:w="75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140,340</w:t>
            </w:r>
          </w:p>
        </w:tc>
        <w:tc>
          <w:tcPr>
            <w:tcW w:w="280" w:type="dxa"/>
            <w:vAlign w:val="bottom"/>
            <w:tcBorders>
              <w:bottom w:val="single" w:sz="8" w:color="CFF0FC"/>
            </w:tcBorders>
          </w:tcPr>
          <w:p>
            <w:pPr>
              <w:spacing w:after="0"/>
              <w:rPr>
                <w:sz w:val="22"/>
                <w:szCs w:val="22"/>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80" w:type="dxa"/>
            <w:vAlign w:val="bottom"/>
            <w:shd w:val="clear" w:color="auto" w:fill="CFF0FC"/>
          </w:tcPr>
          <w:p>
            <w:pPr>
              <w:spacing w:after="0"/>
              <w:rPr>
                <w:sz w:val="19"/>
                <w:szCs w:val="19"/>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shd w:val="clear" w:color="auto" w:fill="CFF0FC"/>
          </w:tcPr>
          <w:p>
            <w:pPr>
              <w:spacing w:after="0"/>
              <w:rPr>
                <w:sz w:val="19"/>
                <w:szCs w:val="19"/>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280" w:type="dxa"/>
            <w:vAlign w:val="bottom"/>
            <w:shd w:val="clear" w:color="auto" w:fill="CFF0FC"/>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80" w:type="dxa"/>
            <w:vAlign w:val="bottom"/>
            <w:shd w:val="clear" w:color="auto" w:fill="CFF0FC"/>
          </w:tcPr>
          <w:p>
            <w:pPr>
              <w:spacing w:after="0"/>
              <w:rPr>
                <w:sz w:val="19"/>
                <w:szCs w:val="19"/>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22,923</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280" w:type="dxa"/>
            <w:vAlign w:val="bottom"/>
            <w:shd w:val="clear" w:color="auto" w:fill="CFF0FC"/>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1"/>
        </w:trPr>
        <w:tc>
          <w:tcPr>
            <w:tcW w:w="7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5,000,000 shares authorized, none issued and outstanding as of March 31, 2019 and December</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4"/>
        </w:trPr>
        <w:tc>
          <w:tcPr>
            <w:tcW w:w="7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31, 2018</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1"/>
        </w:trPr>
        <w:tc>
          <w:tcPr>
            <w:tcW w:w="7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250,000,000 shares authorized as of March 31, 2019 and December 31, 2018.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25,388,643 and 25,401,479 shares issued and outstanding as of March 31, 2019 and December</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4"/>
        </w:trPr>
        <w:tc>
          <w:tcPr>
            <w:tcW w:w="7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31, 2018, respectively.</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20"/>
                <w:szCs w:val="20"/>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244,857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243,903</w:t>
            </w:r>
          </w:p>
        </w:tc>
        <w:tc>
          <w:tcPr>
            <w:tcW w:w="28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(132,711)</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(119,765)</w:t>
            </w:r>
          </w:p>
        </w:tc>
      </w:tr>
      <w:tr>
        <w:trPr>
          <w:trHeight w:val="223"/>
        </w:trPr>
        <w:tc>
          <w:tcPr>
            <w:tcW w:w="75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112,210</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124,098</w:t>
            </w:r>
          </w:p>
        </w:tc>
        <w:tc>
          <w:tcPr>
            <w:tcW w:w="280" w:type="dxa"/>
            <w:vAlign w:val="bottom"/>
            <w:tcBorders>
              <w:top w:val="single" w:sz="8" w:color="CFF0FC"/>
            </w:tcBorders>
            <w:shd w:val="clear" w:color="auto" w:fill="CFF0FC"/>
          </w:tcPr>
          <w:p>
            <w:pPr>
              <w:spacing w:after="0"/>
              <w:rPr>
                <w:sz w:val="19"/>
                <w:szCs w:val="19"/>
                <w:color w:val="auto"/>
              </w:rPr>
            </w:pPr>
          </w:p>
        </w:tc>
      </w:tr>
      <w:tr>
        <w:trPr>
          <w:trHeight w:val="223"/>
        </w:trPr>
        <w:tc>
          <w:tcPr>
            <w:tcW w:w="7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140,340</w:t>
            </w:r>
          </w:p>
        </w:tc>
        <w:tc>
          <w:tcPr>
            <w:tcW w:w="28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Unaudited Consolidated Statements of Operations</w:t>
      </w:r>
    </w:p>
    <w:p>
      <w:pPr>
        <w:spacing w:after="0" w:line="11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10,384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8,361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3,651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3,629</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14,035</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11,990</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 - basic and diluted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Weighted-average common shares used in computing net loss per share attributable to</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common shareholders - basic and diluted</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25,293,791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20,145,881</w:t>
            </w:r>
          </w:p>
        </w:tc>
        <w:tc>
          <w:tcPr>
            <w:tcW w:w="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(11,267)</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333" w:right="799" w:bottom="1440" w:gutter="0" w:footer="0" w:header="0"/>
        </w:sectPr>
      </w:pPr>
    </w:p>
    <w:bookmarkStart w:id="5" w:name="page6"/>
    <w:bookmarkEnd w:id="5"/>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0" w:lineRule="exact"/>
        <w:rPr>
          <w:sz w:val="20"/>
          <w:szCs w:val="20"/>
          <w:color w:val="auto"/>
        </w:rPr>
      </w:pP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9"/>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w:t>
            </w: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1860" w:type="dxa"/>
            <w:vAlign w:val="bottom"/>
            <w:gridSpan w:val="3"/>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860" w:type="dxa"/>
            <w:vAlign w:val="bottom"/>
            <w:tcBorders>
              <w:bottom w:val="single" w:sz="8" w:color="auto"/>
            </w:tcBorders>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$0.001 par</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8"/>
                <w:szCs w:val="18"/>
                <w:color w:val="auto"/>
              </w:rPr>
            </w:pPr>
          </w:p>
        </w:tc>
        <w:tc>
          <w:tcPr>
            <w:tcW w:w="10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25,401,479</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243,903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124,098</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25,388,643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244,857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112,210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20" w:type="dxa"/>
            <w:vAlign w:val="bottom"/>
            <w:tcBorders>
              <w:bottom w:val="single" w:sz="8" w:color="CFF0FC"/>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2018</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16,272,617</w:t>
            </w:r>
          </w:p>
        </w:tc>
        <w:tc>
          <w:tcPr>
            <w:tcW w:w="840" w:type="dxa"/>
            <w:vAlign w:val="bottom"/>
            <w:gridSpan w:val="2"/>
            <w:shd w:val="clear" w:color="auto" w:fill="CFF0FC"/>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156,685</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(71,654)</w:t>
            </w:r>
          </w:p>
        </w:tc>
        <w:tc>
          <w:tcPr>
            <w:tcW w:w="3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85,038</w:t>
            </w:r>
          </w:p>
        </w:tc>
        <w:tc>
          <w:tcPr>
            <w:tcW w:w="0" w:type="dxa"/>
            <w:vAlign w:val="bottom"/>
          </w:tcPr>
          <w:p>
            <w:pPr>
              <w:spacing w:after="0"/>
              <w:rPr>
                <w:sz w:val="1"/>
                <w:szCs w:val="1"/>
                <w:color w:val="auto"/>
              </w:rPr>
            </w:pPr>
          </w:p>
        </w:tc>
      </w:tr>
      <w:tr>
        <w:trPr>
          <w:trHeight w:val="21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Effect of adoption of ASU 2014-09 (ASC</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606)</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5,899,500</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53,747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53,753</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22,172,117</w:t>
            </w:r>
          </w:p>
        </w:tc>
        <w:tc>
          <w:tcPr>
            <w:tcW w:w="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211,351</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128,767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117" w:right="7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 Consolidated Statements of Cash Flows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420"/>
          </w:cols>
          <w:pgMar w:left="240" w:top="792" w:right="239" w:bottom="1440" w:gutter="0" w:footer="0" w:header="0"/>
        </w:sectPr>
      </w:pPr>
    </w:p>
    <w:p>
      <w:pPr>
        <w:spacing w:after="0" w:line="300"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7620</wp:posOffset>
            </wp:positionV>
            <wp:extent cx="995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March 31, 2019</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7620</wp:posOffset>
            </wp:positionV>
            <wp:extent cx="995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2018</w:t>
      </w:r>
    </w:p>
    <w:p>
      <w:pPr>
        <w:spacing w:after="0" w:line="1" w:lineRule="exact"/>
        <w:rPr>
          <w:sz w:val="20"/>
          <w:szCs w:val="20"/>
          <w:color w:val="auto"/>
        </w:rPr>
      </w:pPr>
    </w:p>
    <w:p>
      <w:pPr>
        <w:sectPr>
          <w:pgSz w:w="11900" w:h="16838" w:orient="portrait"/>
          <w:cols w:equalWidth="0" w:num="2">
            <w:col w:w="9260" w:space="600"/>
            <w:col w:w="1560"/>
          </w:cols>
          <w:pgMar w:left="240" w:top="792"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(12,946)</w:t>
            </w:r>
          </w:p>
        </w:tc>
        <w:tc>
          <w:tcPr>
            <w:tcW w:w="68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rent</w:t>
            </w:r>
          </w:p>
        </w:tc>
        <w:tc>
          <w:tcPr>
            <w:tcW w:w="5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5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(39,346)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common stock, net of issuance costs</w:t>
            </w:r>
          </w:p>
        </w:tc>
        <w:tc>
          <w:tcPr>
            <w:tcW w:w="5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Landlord funded allowance for tenant improvements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purchases included in accounts</w:t>
            </w: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payable and accrued expenses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68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Synlogic, Inc., together with its wholly owned and consolidated subsidiaries (“Synlogic” or the “Company”), is a clinical-stage biopharmaceutical company focused on advancing its drug discovery and development platform for Synthetic Biotic™ medicines. Synthetic Biotic medicines are generated from Synlogic’s proprietary drug discovery and development platform applying the principles and tools of synthetic biology to engineer beneficial microbes to perform or deliver critical therapeutic functions to treat metabolic and inflammatory diseases and cancer. As living medicines, Synthetic Biotic medicines can be designed to sense a local disease context within a patient’s body and to respond by metabolizing a toxic substance, by compensating for missing or damaged metabolic pathways in patients, or by delivering combinations of therapeutic factors. Synlogic’s goal is to lead in the discovery and development of Synthetic Biotic therapies as living medicines capable of robust and precise pathway complementation and delivery of therapeutic benefit. Since incorporation, the Company has devoted substantially all of its efforts to the research and development of its product candidates.</w:t>
      </w:r>
    </w:p>
    <w:p>
      <w:pPr>
        <w:spacing w:after="0" w:line="185"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 xml:space="preserve">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(the “2015 Reorganization”). In conjunction with the 2015 Reorganization, Private Synlogic entered into a license, option and merger agreement with AbbVie S.à.r.l. (“AbbVie”), for the development of treatments for inflammatory bowel disease (“IBD”). See Note 9, </w:t>
      </w:r>
      <w:r>
        <w:rPr>
          <w:rFonts w:ascii="Times New Roman" w:cs="Times New Roman" w:eastAsia="Times New Roman" w:hAnsi="Times New Roman"/>
          <w:sz w:val="18"/>
          <w:szCs w:val="18"/>
          <w:i w:val="1"/>
          <w:iCs w:val="1"/>
          <w:color w:val="auto"/>
        </w:rPr>
        <w:t>AbbVie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May 2017, Private Synlogic completed a reorganization (the “2017 Reorganization”) pursuant to which Synlogic, LLC merged with and into Private Synlogic, with Private Synlogic continuing as the surviving corporation.</w:t>
      </w:r>
    </w:p>
    <w:p>
      <w:pPr>
        <w:spacing w:after="0" w:line="162"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Immediately after completion of the Merger, Mirna changed its name to “Synlogic, Inc.” (NASDAQ: SYBX).</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At March 31, 2019, the Company had approximately $109.8 million in cash, cash equivalents, and marketable securities, $1.1 million of restricted cash and an accumulated deficit of approximately $132.7 million. Since its inception through March 31, 2019, the Company has primarily financed its operations through the issuance of preferred stock and units, the sale of its common stock, the AbbVie collaboration,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88"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6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described in the Company’s audited financial statements as of and for the year ended December 31, 2018, and the notes thereto, which are included in the Company’s 2018 Annual Report for the year ended December 31, 2018, filed with the Securities and Exchange Commission (“SEC”) on March 12, 2019 (the “2018 Annual Report”), have had no material changes during the three months ended March 31, 2019, other than our adoption of ASU 2016-02 and ASU 2018-07 (as defined below). The updated accounting policies and the impact of adoption are each discussed in the “Recently Adopted Accounting Pronouncements” section in this note.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related disclosures as of March 31, 2019 and for the three months ended March 31, 2019 and 2018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2018 and 2017 audited consolidated financial statements and notes included in the Company’s 2018 Annual Report. The December 31, 2018 consolidated balance sheet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months ended March 31, 2019 and 2018. The results of operations for the interim periods are not necessarily indicative of the results to be expected for the year ending December 31, 2019 or any other interim period or future year or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 Leases (Topic 842), which replaces the existing accounting guidance for leases. This standard requires entities that lease assets to recognize the assets and liabilities for the rights and obligations created by those leases on the balance sheet. The standard is effective for fiscal years and the interim periods within those fiscal years beginning after December 15, 2018. The guidance is required to be applied by the modified retrospective transition approach and early adoption is permitted. In July 2018, the FASB issued ASU 2018-11 Leases – Targeted Improvements, intended to ease the implementation of the new lease standard for financial statement preparers by, among other things, allowing for an additional transition method. In lieu of presenting transition requirements to comparative periods, as previously required, an entity may now elect to show a cumulative effect adjustment on the date of adoption without the requirement to recast prior period financial statements or disclosures presented in accordance with ASU 2016-</w:t>
      </w:r>
    </w:p>
    <w:p>
      <w:pPr>
        <w:spacing w:after="0" w:line="4" w:lineRule="exact"/>
        <w:rPr>
          <w:sz w:val="20"/>
          <w:szCs w:val="20"/>
          <w:color w:val="auto"/>
        </w:rPr>
      </w:pPr>
    </w:p>
    <w:p>
      <w:pPr>
        <w:ind w:right="340" w:firstLine="8"/>
        <w:spacing w:after="0" w:line="261"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the new standard using the cumulative effect adjustment transition option effective January 1, 2019, which is the initial date of application per ASU 2018-11.</w:t>
      </w:r>
    </w:p>
    <w:p>
      <w:pPr>
        <w:spacing w:after="0" w:line="28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Company elected the available package of practical expedients which allows the Company to not reassess previous accounting conclusions around whether arrangements are or contain leases, the classification of our leases, and the treatment of initial direct costs. The Company made an accounting policy election to keep leases with an initial term of 12 months or less off of the balance sheet.</w:t>
      </w:r>
    </w:p>
    <w:p>
      <w:pPr>
        <w:spacing w:after="0" w:line="2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adopted ASU 2016-02: Leases (Topic 842) as of January 1, 2019. The Company uses judgement to assess if an arrangement is a lease at contract inception. An arrangement is a lease if the contract involves the use of a distinct identified asset, the lessor does not have substantive substitution rights and the Company obtains control of the asset throughout the period by obtaining substantially all of the economic benefit of the asset and the right to direct the use of the asset. Leases classified as operating leases 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color w:val="auto"/>
        </w:rPr>
        <w:t>included in operating lease right-of-use (ROU) assets, current operating lease liabilities and noncurrent operating lease liabilities in our consolidated balance sheet. Finance leases are included in property and equipment and finance lease obligations, in our consolidated balance sheet</w:t>
      </w:r>
      <w:r>
        <w:rPr>
          <w:rFonts w:ascii="Arial" w:cs="Arial" w:eastAsia="Arial" w:hAnsi="Arial"/>
          <w:sz w:val="18"/>
          <w:szCs w:val="18"/>
          <w:color w:val="auto"/>
        </w:rPr>
        <w:t>.</w:t>
      </w:r>
    </w:p>
    <w:p>
      <w:pPr>
        <w:spacing w:after="0" w:line="4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Company utilizes its incremental borrowing rate to determine the present value of lease payments. The incremental borrowing rate is the rate incurred to borrow similar funds, on a collateralized basis, over a comparable term in a similar economic environment.</w:t>
      </w:r>
    </w:p>
    <w:p>
      <w:pPr>
        <w:spacing w:after="0" w:line="7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For new and amended leases beginning in 2019 and after, the Company has elected to account for the lease and non-lease components for leases as a single component for classes of all underlying assets and allocate all of the contract consideration to the lease component only. Lease cost for operating leases is recognized on a straight-line basis over the lease term and is included in operating expenses on the statements of operations and comprehensive loss. Variable lease payments are included in lease operating expenses.</w:t>
      </w:r>
    </w:p>
    <w:p>
      <w:pPr>
        <w:spacing w:after="0" w:line="72"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lease term includes options to extend the lease when it is reasonably certain that option will be exercised. Leases with a term of 12 months or less are not recorded on the Company’s consolidated balance sheet.</w:t>
      </w:r>
    </w:p>
    <w:p>
      <w:pPr>
        <w:spacing w:after="0" w:line="54" w:lineRule="exact"/>
        <w:rPr>
          <w:sz w:val="20"/>
          <w:szCs w:val="20"/>
          <w:color w:val="auto"/>
        </w:rPr>
      </w:pPr>
    </w:p>
    <w:p>
      <w:pPr>
        <w:ind w:right="300" w:firstLine="518"/>
        <w:spacing w:after="0" w:line="258" w:lineRule="auto"/>
        <w:rPr>
          <w:sz w:val="20"/>
          <w:szCs w:val="20"/>
          <w:color w:val="auto"/>
        </w:rPr>
      </w:pPr>
      <w:r>
        <w:rPr>
          <w:rFonts w:ascii="Times New Roman" w:cs="Times New Roman" w:eastAsia="Times New Roman" w:hAnsi="Times New Roman"/>
          <w:sz w:val="18"/>
          <w:szCs w:val="18"/>
          <w:color w:val="auto"/>
        </w:rPr>
        <w:t>The adoption had a material impact on the consolidated balance sheet related to the recognition of a transition adjustment on January 1, 2019 of a right-of-use asset of $15.9 million and lease liability of $24.0 million for an operating lease and the derecognition of deferred rent originally accounted for under legacy guidance. The adoption did not have a material impact on the consolidated statement of operations. The Company has designed and implemented changes to related processes, controls and disclosures. Refer to the Commitments and Contingencies footnote for further information on the adoption of this standard and the Company’s accounting for leases.</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February 2018, the FASB issued ASU 2018-02 – Income Statement – Reporting Comprehensive Income (Topic 220), which provides amended guidance on income tax accounting. The amended guidance permits the reclassification of the income tax effect on amounts recorded within other comprehensive income impacted by the Tax Cuts and Jobs Act (the “TCJA”) into retained earnings. The amended guidance is effective for periods beginning after December 15, 2018 and applies only to those amounts remaining in other comprehensive income at the date of enactment of the TCJA. The amended guidance may be adopted on either a retrospective basis or at the beginning of the period of adoption. The amended standard had an immaterial impact on the Company’s consolidated financial statements and as such the Company did not reclassify the income tax effects of the TCJA from other comprehensive income to retained earnings.</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June 2018, the FASB issued ASU 2018-07- Compensation - Stock Compensation (Topic 718): Improvements to Nonemployee Share-Based Payment Accounting. The standard is effective for fiscal years beginning after December 15, 2018, including interim periods within that fiscal year. Early adoption is permitted, but no earlier than an entity’s adoption date of ASC 606. The standard expands the scope of ASC 718 to include all share-based payment arrangements related to the acquisition of goods and services from both nonemployees and employees. Under the amended guidance, equity-classified share-based payment awards issued to nonemployees will be measured at grant date fair value. Upon transition, the entity is required to remeasure these nonemployee awards at fair value as of the adoption date. The Company adopted the new guidance January 1, 2019 which had an immaterial impact on its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 Fair Value Measurement - Disclosure Framework (Topic 820). The standard modifies the disclosure requirements for fair value measurements. The standard is effective for public companies for annual and interim periods beginning after December 15, 2019. Early adoption is permitted for any removed or modified disclosures. Management is currently assessing the impact adoption will have on the Company, but it is not expected to have a material impact on the Company’s financial statement disclosures.</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2018-15 - Customer's Accounting for Implementation Costs Incurred in a Cloud Computing Arrangement that is a Service Contract. The standard requires implementation costs incurred by customers in cloud computing arrangements to be deferred over the noncancelable term of the cloud computing arrangements plus any optional renewal periods (1) that are reasonably certain to be exercised by the customer or (2) for which exercise of the renewal option is controlled 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cloud service provider. The effective date of this pronouncement is for fiscal years beginning after December 15, 2019, and interim periods within those fiscal years, and early adoption is permitted. The standard can be adopted either using the prospective or retrospective transition approach. The Company is currently evaluating the impact of this standard on the Company's consolidated financial statements and disclosures.</w:t>
      </w:r>
    </w:p>
    <w:p>
      <w:pPr>
        <w:spacing w:after="0" w:line="176" w:lineRule="exact"/>
        <w:rPr>
          <w:sz w:val="20"/>
          <w:szCs w:val="20"/>
          <w:color w:val="auto"/>
        </w:rPr>
      </w:pPr>
    </w:p>
    <w:p>
      <w:pPr>
        <w:ind w:right="280" w:firstLine="518"/>
        <w:spacing w:after="0" w:line="281" w:lineRule="auto"/>
        <w:rPr>
          <w:sz w:val="20"/>
          <w:szCs w:val="20"/>
          <w:color w:val="auto"/>
        </w:rPr>
      </w:pPr>
      <w:r>
        <w:rPr>
          <w:rFonts w:ascii="Times New Roman" w:cs="Times New Roman" w:eastAsia="Times New Roman" w:hAnsi="Times New Roman"/>
          <w:sz w:val="17"/>
          <w:szCs w:val="17"/>
          <w:color w:val="auto"/>
        </w:rPr>
        <w:t>In November 2018, the FASB issued ASU 2018-18 - Collaborative Arrangements (Topic 808): Clarifying the Interaction Between Topic 808 and Topic 606,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is currently evaluating the impact of this standard on the Company’s consolidated financial statements.</w:t>
      </w:r>
    </w:p>
    <w:p>
      <w:pPr>
        <w:spacing w:after="0" w:line="200" w:lineRule="exact"/>
        <w:rPr>
          <w:sz w:val="20"/>
          <w:szCs w:val="20"/>
          <w:color w:val="auto"/>
        </w:rPr>
      </w:pPr>
    </w:p>
    <w:p>
      <w:pPr>
        <w:spacing w:after="0" w:line="32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right="520" w:firstLine="518"/>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the audited financial statements included in the Company’s 2018 Annual Report.</w:t>
      </w:r>
    </w:p>
    <w:p>
      <w:pPr>
        <w:spacing w:after="0" w:line="17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2019 and December 31, 2018, the Company has classified assets measured at fair value on a recurring basis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2019</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0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0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870</w:t>
            </w:r>
          </w:p>
        </w:tc>
        <w:tc>
          <w:tcPr>
            <w:tcW w:w="3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870</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(included in cash and cash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5,749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5,749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 (included in short-term</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90,101</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90,101</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(included in short-term investments)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1,994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1,996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100,710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97,846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265</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 (included in short-term</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107,505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107,505</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 in short-term investments)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3,972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1,985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111,742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2,252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109,490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March 31, 2019 and December 31, 2018 are carried at amounts that approximate fair value due to their short-term maturities. Finance lease obligations at March 31, 2019 and December 31, 2018 approximate fair value as they bear interest at a rate approximating a market interest rate.</w:t>
      </w:r>
    </w:p>
    <w:p>
      <w:pPr>
        <w:spacing w:after="0" w:line="280"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Investments</w:t>
      </w:r>
    </w:p>
    <w:p>
      <w:pPr>
        <w:spacing w:after="0" w:line="13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March 31, 2019 and December 31, 2018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and treasury securities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107,571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contractual maturity of all securities held at March 31, 2019 was one year or less. There were 19 and 37 investments in an unrealized loss position at March 31, 2019 and December 31, 2018, respectively, none of which had been in an unrealized loss position for more than twelve months. The aggregate fair value of the securities in an unrealized loss position at March 31, 2019 and December 31, 2018 was $35.6 million and $96.5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March 31, 2019.</w:t>
      </w:r>
    </w:p>
    <w:p>
      <w:pPr>
        <w:spacing w:after="0" w:line="1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37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32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40" w:type="dxa"/>
            <w:vAlign w:val="bottom"/>
            <w:tcBorders>
              <w:bottom w:val="single" w:sz="8" w:color="CFF0FC"/>
            </w:tcBorders>
          </w:tcPr>
          <w:p>
            <w:pPr>
              <w:spacing w:after="0"/>
              <w:rPr>
                <w:sz w:val="15"/>
                <w:szCs w:val="15"/>
                <w:color w:val="auto"/>
              </w:rPr>
            </w:pPr>
          </w:p>
        </w:tc>
        <w:tc>
          <w:tcPr>
            <w:tcW w:w="15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(2,987)</w:t>
            </w:r>
          </w:p>
        </w:tc>
      </w:tr>
      <w:tr>
        <w:trPr>
          <w:trHeight w:val="223"/>
        </w:trPr>
        <w:tc>
          <w:tcPr>
            <w:tcW w:w="3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consists of the following (in thousands):</w:t>
      </w:r>
    </w:p>
    <w:p>
      <w:pPr>
        <w:spacing w:after="0" w:line="32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5"/>
                <w:szCs w:val="15"/>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has the following characteristics:</w:t>
      </w:r>
    </w:p>
    <w:p>
      <w:pPr>
        <w:spacing w:after="0" w:line="117" w:lineRule="exact"/>
        <w:rPr>
          <w:rFonts w:ascii="Times New Roman" w:cs="Times New Roman" w:eastAsia="Times New Roman" w:hAnsi="Times New Roman"/>
          <w:sz w:val="18"/>
          <w:szCs w:val="18"/>
          <w:b w:val="1"/>
          <w:bCs w:val="1"/>
          <w:color w:val="auto"/>
        </w:rPr>
      </w:pPr>
    </w:p>
    <w:p>
      <w:pPr>
        <w:ind w:left="1040" w:hanging="519"/>
        <w:spacing w:after="0"/>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common stock are entitled to receive dividends, if and when, declared by the Company’s board of directors. Since inception, no cash dividends have been declared.</w:t>
      </w:r>
    </w:p>
    <w:p>
      <w:pPr>
        <w:spacing w:after="0" w:line="268" w:lineRule="exact"/>
        <w:rPr>
          <w:rFonts w:ascii="Times New Roman" w:cs="Times New Roman" w:eastAsia="Times New Roman" w:hAnsi="Times New Roman"/>
          <w:sz w:val="18"/>
          <w:szCs w:val="18"/>
          <w:color w:val="auto"/>
        </w:rPr>
      </w:pPr>
    </w:p>
    <w:p>
      <w:pPr>
        <w:ind w:left="520" w:hanging="512"/>
        <w:spacing w:after="0" w:line="207" w:lineRule="exact"/>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and Equity Incentive Plans</w:t>
      </w:r>
    </w:p>
    <w:p>
      <w:pPr>
        <w:spacing w:after="0" w:line="15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displaying all equity in its post-Merger amounts.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a number of equity plans, two of which are currently active.</w:t>
      </w:r>
    </w:p>
    <w:p>
      <w:pPr>
        <w:spacing w:after="0" w:line="225" w:lineRule="exact"/>
        <w:rPr>
          <w:sz w:val="20"/>
          <w:szCs w:val="20"/>
          <w:color w:val="auto"/>
        </w:rPr>
      </w:pPr>
    </w:p>
    <w:p>
      <w:pPr>
        <w:ind w:firstLine="518"/>
        <w:spacing w:after="0" w:line="220" w:lineRule="exact"/>
        <w:rPr>
          <w:sz w:val="20"/>
          <w:szCs w:val="20"/>
          <w:color w:val="auto"/>
        </w:rPr>
      </w:pPr>
      <w:r>
        <w:rPr>
          <w:rFonts w:ascii="Times New Roman" w:cs="Times New Roman" w:eastAsia="Times New Roman" w:hAnsi="Times New Roman"/>
          <w:sz w:val="18"/>
          <w:szCs w:val="18"/>
          <w:color w:val="auto"/>
        </w:rPr>
        <w:t>The 2015 Equity Incentive Award Plan (the “2015 Plan”) was adopted by Mirna in 2015 and remains active after the Merger, now functioning as the primary equity plan for the Company. The 2015 Plan provides for the granting of a variety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Pursuant to the evergreen provision of the 2015 Plan, which allows for an annual increase in the number of shares of common stock available for issuance, the Company added 1,270,073 shares to the 2015 Plan on January 1, 2019.</w:t>
      </w: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17" w:right="41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2017 Stock Incentive Plan (the “2017 Plan”) was adopted by Private Synlogic in 2017 at the time of the 2017 Reorganization and assumed by the Company during the Merger. The 2017 Plan provides for the grant of incentive stock options, non-qualified stock options, restricted and unrestricted stock awards and other stock-based awards.</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there were 753,164 shares available for future grant under the Company’s two active equity incentive plans, the 2017 Plan and the 2015 Plan.</w:t>
      </w:r>
    </w:p>
    <w:p>
      <w:pPr>
        <w:spacing w:after="0" w:line="160" w:lineRule="exact"/>
        <w:rPr>
          <w:sz w:val="20"/>
          <w:szCs w:val="20"/>
          <w:color w:val="auto"/>
        </w:rPr>
      </w:pPr>
    </w:p>
    <w:p>
      <w:pPr>
        <w:ind w:right="8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For a full description of the Company’s equity plans, refer to Note 12, </w:t>
      </w:r>
      <w:r>
        <w:rPr>
          <w:rFonts w:ascii="Times New Roman" w:cs="Times New Roman" w:eastAsia="Times New Roman" w:hAnsi="Times New Roman"/>
          <w:sz w:val="18"/>
          <w:szCs w:val="18"/>
          <w:i w:val="1"/>
          <w:iCs w:val="1"/>
          <w:color w:val="auto"/>
        </w:rPr>
        <w:t>Equity-based Compensation and Equity Incentive Plans</w:t>
      </w:r>
      <w:r>
        <w:rPr>
          <w:rFonts w:ascii="Times New Roman" w:cs="Times New Roman" w:eastAsia="Times New Roman" w:hAnsi="Times New Roman"/>
          <w:sz w:val="18"/>
          <w:szCs w:val="18"/>
          <w:color w:val="auto"/>
        </w:rPr>
        <w:t xml:space="preserve"> in the Company’s 2018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2019 under the 2015 Plan and the 2017 Plan.</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left="12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8"/>
                <w:szCs w:val="18"/>
                <w:color w:val="auto"/>
              </w:rPr>
            </w:pPr>
          </w:p>
        </w:tc>
        <w:tc>
          <w:tcPr>
            <w:tcW w:w="960" w:type="dxa"/>
            <w:vAlign w:val="bottom"/>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2"/>
                <w:szCs w:val="12"/>
                <w:b w:val="1"/>
                <w:bCs w:val="1"/>
                <w:color w:val="auto"/>
              </w:rPr>
              <w:t>(a)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1,739,884</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11.92</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9.0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1,163,980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(156,821)</w:t>
            </w: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13.84</w:t>
            </w:r>
          </w:p>
        </w:tc>
        <w:tc>
          <w:tcPr>
            <w:tcW w:w="1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2,747,043</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10.38</w:t>
            </w: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9.2</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expected to vest at March 31, 2019</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2,747,043</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10.38</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9.2</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March 31, 2019</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558,274</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13.10</w:t>
            </w: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8.5</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960" w:right="100" w:hanging="385"/>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options and the fair market value of the underlying common stock for the options that were in the money at March 31, 2019 and December 31, 2018.</w:t>
      </w:r>
    </w:p>
    <w:p>
      <w:pPr>
        <w:spacing w:after="0" w:line="16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there was $12.7 million of unrecognized share-based compensation related to unvested stock option grants which is expected to be recognized over a weighted average period of 3.1 years. The total unrecognized share-based compensation cost will be adjusted for actual forfeitures as they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restricted stock activity during the three months ended March 31,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57"/>
              <w:spacing w:after="0" w:line="14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780" w:type="dxa"/>
            <w:vAlign w:val="bottom"/>
          </w:tcPr>
          <w:p>
            <w:pPr>
              <w:spacing w:after="0"/>
              <w:rPr>
                <w:sz w:val="15"/>
                <w:szCs w:val="15"/>
                <w:color w:val="auto"/>
              </w:rPr>
            </w:pPr>
          </w:p>
        </w:tc>
        <w:tc>
          <w:tcPr>
            <w:tcW w:w="15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17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118,679</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(18,124)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3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(12,836)</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Unvested at March 31, 2019</w:t>
            </w:r>
          </w:p>
        </w:tc>
        <w:tc>
          <w:tcPr>
            <w:tcW w:w="17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8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70"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there was approximately $0.1 million of unrecognized share-based compensation related to restricted stock awards granted, which is expected to be recognized over a weighted average period of 1.4 years. The total unrecognized share-based compensation cost will be adjusted for actual forfeitures as they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Company recorded total equity-based compensation expense of $1.0 million during the three months ended March 31, 2019, and $0.9 million during the three months ended March 31, 2018.</w:t>
      </w:r>
    </w:p>
    <w:p>
      <w:pPr>
        <w:spacing w:after="0" w:line="133" w:lineRule="exact"/>
        <w:rPr>
          <w:sz w:val="20"/>
          <w:szCs w:val="20"/>
          <w:color w:val="auto"/>
        </w:rPr>
      </w:pPr>
    </w:p>
    <w:p>
      <w:pPr>
        <w:ind w:right="80" w:firstLine="518"/>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three months ended March 31, 2019 and 2018 (in thousands):</w:t>
      </w: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vMerge w:val="restart"/>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26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520" w:firstLine="518"/>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three months ended March 31, 2019 and 2018 (in thousands):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vMerge w:val="restart"/>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6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02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Borders>
              <w:top w:val="single" w:sz="8" w:color="auto"/>
            </w:tcBorders>
          </w:tcPr>
          <w:p>
            <w:pPr>
              <w:jc w:val="right"/>
              <w:ind w:right="1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32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AbbVie Collaboration Agreement</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July 2015, the Company entered into the AbbVie Agreement under which the Company granted AbbVie an exclusive option to purchase IBDCo and, in exchange, agreed to collaborate in researching and developing an Investigational New Drug (“IND”) candidate for the treatment of IBD. The AbbVie Agreement sets forth the Company’s and AbbVie’s respective obligations for development and delivery of an IND candidate package using reasonable commercial efforts.</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exchange for the exclusive option to acquire IBDCo, initial research and development services for drug discovery and pre-clinical development, and participation on the joint research committee (“JRC”), AbbVie agreed to pay IBDCo an upfront, nonrefundable cash payment of $2.0 million, which IBDCo received in December 2015. AbbVie also agreed to pay IBDCo up to $16.5 million in milestone payments associated with specified research and pre-clinical events, which were determined to represent customer options for accounting purposes, as well as an option exercise fee upon the execution of their option to buy IBDCo and other royalty and milestone payments. The upfront cash payment and any payments for option fees and royalties are non-refundable, non-creditable and not subject to set-off.</w:t>
      </w:r>
    </w:p>
    <w:p>
      <w:pPr>
        <w:spacing w:after="0" w:line="18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research and development will be performed by the Company over four phases of research defined in the research plan. The Company is eligible to receive payments from AbbVie upon the election to continue the research and development at the achievement of certain milestone events. The JRC will make a determination as to the continuation of the collaboration at the achievement of research and pre-clinical milestones, except for the final milestone, which AbbVie has the discretion to determine achievement without the approval of the JRC. If the parties make the determination to continue on with the AbbVie Agreement upon achievement of each milestone event, then AbbVie will pay the consideration associated with that milestone and the collaboration will continue through the remaining term of the option to purchase IBDCo, which was initially considered to be approximately 54 months. However, AbbVie has the right to terminate the contract at any time with 90 days’ notice.</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and concluded that the contract counterparty, AbbVie, is a customer. The Company identified the following material promises at the outset of the arrangement: (1) a non-exclusive royalty-free research and development license; (2) research and development services for pre-clinical activities under the research plan through to the first research and development phase (or an estimated 17 months); (3) three option rights for AbbVie to continue the collaboration as related to three phases of research and development; (4) participation on the JRC; and (5) the transfer of ownership of IBDCo upon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exercise of the option to buy IBDCo. The Company determined that the license and research and development activities were not distinct from one another. Participation on the JRC to oversee the research and development activities was determined to be quantitatively and qualitatively immaterial and therefore is excluded from performance obligations. As such, the Company determined that the license and research and development services should be combined into a single performance obligation.</w:t>
      </w:r>
    </w:p>
    <w:p>
      <w:pPr>
        <w:spacing w:after="0" w:line="180" w:lineRule="exact"/>
        <w:rPr>
          <w:sz w:val="20"/>
          <w:szCs w:val="20"/>
          <w:color w:val="auto"/>
        </w:rPr>
      </w:pPr>
    </w:p>
    <w:p>
      <w:pPr>
        <w:ind w:right="220" w:firstLine="518"/>
        <w:spacing w:after="0" w:line="281" w:lineRule="auto"/>
        <w:rPr>
          <w:sz w:val="20"/>
          <w:szCs w:val="20"/>
          <w:color w:val="auto"/>
        </w:rPr>
      </w:pPr>
      <w:r>
        <w:rPr>
          <w:rFonts w:ascii="Times New Roman" w:cs="Times New Roman" w:eastAsia="Times New Roman" w:hAnsi="Times New Roman"/>
          <w:sz w:val="17"/>
          <w:szCs w:val="17"/>
          <w:color w:val="auto"/>
        </w:rPr>
        <w:t>The Company evaluated the milestone payments, which represent customer options as described above, and the option to purchase IBDCo, to determine whether they provide AbbVie with any material rights. The Company concluded that the options were not issued at a significant and incremental discount, and therefore do not provide material rights. As such, they were excluded as performance obligations at the outset of the arrangement. If AbbVie elects to exercise the options, the additional consideration will be added to the transaction price and allocated to the resulting performance obligations.</w:t>
      </w:r>
    </w:p>
    <w:p>
      <w:pPr>
        <w:spacing w:after="0" w:line="165"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AbbVie Agreement, which consists of: (1) the non-exclusive license and (2) the research and development activities through the first research and development phase.</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only the $2.0 million up-front consideration received which was allocated to the single performance obligation. The option exercise fees ($16.5 million for the milestones and the IBDCo purchase option exercise fee) that may be received are excluded from the transaction price until each customer option is exercised. The Company reevaluates the transaction price at the end of each reporting period and as uncertain events are resolved or other changes in circumstances occur, and, if necessary, adjust its estimate of the transaction price.</w:t>
      </w:r>
    </w:p>
    <w:p>
      <w:pPr>
        <w:spacing w:after="0" w:line="180"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In May 2017, the Company completed the research and development services for the first phase of the research plan and was paid $2.0 million to commence the second phase of the research plan. At this time, the $2.0 million was added to the transaction price and allocated to a new performance obligation consisting of the underlying license and research and development services to be performed over the second phase of the research plan.</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September 27, 2018, AbbVie and the Company signed an amendment (the “Amendment”) to the AbbVie Agreement. The Amendment clarified the requirements necessary to complete the second phase which resulted in additional time and effort in the second phase of the research plan. Additionally, the Amendment split the next milestone payment under the AbbVie Agreement into two payments: a milestone payment of $2.0 million earned by the Company upon execution of the Amendment and the remaining milestone payment of the balance due upon the successful achievement of specified research and pre-clinical events and the advancement to the third phase of the research plan.</w:t>
      </w:r>
    </w:p>
    <w:p>
      <w:pPr>
        <w:spacing w:after="0" w:line="18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On December 18, 2018, AbbVie and the Company signed an amendment (the “Third Amendment”) to the AbbVie Agreement. The Third Amendment provides that in the event AbbVie determines that it is necessary to enter into license agreements with certain third parties in a particular country or other jurisdiction which, but for such license, would be infringed by the manufacture, use or sale of any product governed by the AbbVie Agreement, AbbVie would be entitled to deduct certain expenses related to such license agreements from particular payments made to the Company.</w:t>
      </w:r>
    </w:p>
    <w:p>
      <w:pPr>
        <w:spacing w:after="0" w:line="180"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Company determined that the Amendment represented a modification to the AbbVie Agreement. The additional research and development services are not distinct from the remaining research and development services under the second phase of the research plan of the AbbVie Agreement. The Amendment was accounted for as part of the original AbbVie Agreement and the services form part of the single performance obligation that was partially satisfied as of the date of the contract modification. As a result, the transaction price for the current performance obligation associated with the second phase of the research plan increased by $2.0 million. The impact of the contract modification on the transaction price and the measure of progress toward completion of the performance obligation was recognized as an adjustment to revenue upon execution of the Amendment on a cumulative catch-up basis.</w:t>
      </w:r>
    </w:p>
    <w:p>
      <w:pPr>
        <w:spacing w:after="0" w:line="188"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On February 28, 2019, the JRC concluded that the remaining milestone of $2.5 million under the Second Amendment was achieved upon the achievement of specified research and pre-clinical events under the second phase of the research plan and the advancement to the third phase of the research plan. Revenue associated with performance obligations under the AbbVie Agreement are recognized as the research and development services are provided using an input method, according to the full 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340" w:firstLine="51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and 2018, the Company recognized revenue of $0.3 million and $0.4 million, respectively, as collaboration revenue in the Company’s consolidated statements of operations and comprehensive loss. The deferred revenue balance as of December 31, 2018 was fully recognized during the three months ended March 31, 2019. Long term and current deferred revenue amounted to $2.0 million and $0.5 million, respectively, as of March 31, 2019.</w:t>
      </w:r>
    </w:p>
    <w:p>
      <w:pPr>
        <w:spacing w:after="0" w:line="284"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w:t>
      </w:r>
    </w:p>
    <w:p>
      <w:pPr>
        <w:spacing w:after="0" w:line="17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Company computed basic and diluted net loss per share using the two-class method, which gives effect to the impact of outstanding participating securities. As the three months ended March 31, 2019 and 2018 resulted in net losses attributable to common stockholders, there is no income allocation required under the two-class method or dilution attributed to weighted-average shares outstanding in the calculation of diluted net loss per share because the preferred stockholders do not participate in losses of the Company. Accordingly, for periods in which the Company reports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w:t>
      </w:r>
    </w:p>
    <w:p>
      <w:pPr>
        <w:spacing w:after="0" w:line="228"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23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3" w:lineRule="exact"/>
        <w:rPr>
          <w:sz w:val="20"/>
          <w:szCs w:val="20"/>
          <w:color w:val="auto"/>
        </w:rPr>
      </w:pPr>
    </w:p>
    <w:p>
      <w:pPr>
        <w:ind w:left="7620"/>
        <w:spacing w:after="0"/>
        <w:tabs>
          <w:tab w:leader="none" w:pos="88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tbl>
      <w:tblPr>
        <w:tblLayout w:type="fixed"/>
        <w:tblInd w:w="1720" w:type="dxa"/>
        <w:tblCellMar>
          <w:top w:w="0" w:type="dxa"/>
          <w:left w:w="0" w:type="dxa"/>
          <w:bottom w:w="0" w:type="dxa"/>
          <w:right w:w="0" w:type="dxa"/>
        </w:tblCellMar>
      </w:tblP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87,719</w:t>
            </w:r>
          </w:p>
        </w:tc>
        <w:tc>
          <w:tcPr>
            <w:tcW w:w="2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320,166</w:t>
            </w:r>
          </w:p>
        </w:tc>
        <w:tc>
          <w:tcPr>
            <w:tcW w:w="60" w:type="dxa"/>
            <w:vAlign w:val="bottom"/>
            <w:tcBorders>
              <w:top w:val="single" w:sz="8" w:color="CFF0FC"/>
            </w:tcBorders>
            <w:shd w:val="clear" w:color="auto" w:fill="CFF0FC"/>
          </w:tcPr>
          <w:p>
            <w:pPr>
              <w:spacing w:after="0"/>
              <w:rPr>
                <w:sz w:val="19"/>
                <w:szCs w:val="19"/>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2,747,043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1,741,527</w:t>
            </w:r>
          </w:p>
        </w:tc>
        <w:tc>
          <w:tcPr>
            <w:tcW w:w="60" w:type="dxa"/>
            <w:vAlign w:val="bottom"/>
          </w:tcPr>
          <w:p>
            <w:pPr>
              <w:spacing w:after="0"/>
              <w:rPr>
                <w:sz w:val="20"/>
                <w:szCs w:val="20"/>
                <w:color w:val="auto"/>
              </w:rPr>
            </w:pPr>
          </w:p>
        </w:tc>
      </w:tr>
    </w:tbl>
    <w:p>
      <w:pPr>
        <w:spacing w:after="0" w:line="32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July 2017, the Company entered into an agreement to lease approximately 41,346 square feet of laboratory and office space at 301 Binney Street in Cambridge, Massachusetts. Annual rent is approximately $3.1 million. The ten-year lease commenced in January 2018 and contains provisions for a free-rent period, annual rent increases and an allowance for tenant improvements. Additionally, we have paid for a tenant improvement investment of approximately $1.6 million. The Company was determined to be the accounting owner and recorded tenant improvements as leasehold improvements which reduce the initial measurement of the ROU asset. In conjunction with the lease, we established a letter of credit of approximately $1.0 million. Variable payments based on our portion of the operating expenses, including real estate taxes and insurance, are recorded as a period expense when incurred. The Company has an option to extend the term by five years and an option to terminate the agreement if a similar agreement is executed with the landlord or an affiliate of the landlord. Neither option is reasonably certain of exercise and are excluded from the lease liability calculation.</w:t>
      </w:r>
    </w:p>
    <w:p>
      <w:pPr>
        <w:spacing w:after="0" w:line="185"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On December 7, 2018, Synlogic Operating Company, Inc., a wholly-owned subsidiary of Synlogic, Inc., entered into a Statement of Work (the “SOW”) with Azzur Group, LLC (“Azzur”) pursuant to a Master Contract Services Agreement (the “Master Services Agreement”), dated September 8, 2018, between the Company and Azzur.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right="160" w:firstLine="518"/>
        <w:spacing w:after="0" w:line="261" w:lineRule="auto"/>
        <w:rPr>
          <w:sz w:val="20"/>
          <w:szCs w:val="20"/>
          <w:color w:val="auto"/>
        </w:rPr>
      </w:pPr>
      <w:r>
        <w:rPr>
          <w:rFonts w:ascii="Times New Roman" w:cs="Times New Roman" w:eastAsia="Times New Roman" w:hAnsi="Times New Roman"/>
          <w:sz w:val="18"/>
          <w:szCs w:val="18"/>
          <w:color w:val="auto"/>
        </w:rPr>
        <w:t>Pursuant to the SOW, Azzur has agreed to provide the Company with access to, and the use of, an approximately 700 square foot cleanroom space to be constructed in Waltham, Massachusetts (the “Azzur Suite”), for a period of 44 months, from May 1, 2019 to December 31, 2022 (the “Term”). Azzur has also agreed to provide the Company with storage space and personnel support at the Azzur Suite. The total estimated project cost during the Term for access to, and use of, the cleanroom and storage space, and the personnel support and other services, is up to $4.8 million.</w:t>
      </w:r>
    </w:p>
    <w:p>
      <w:pPr>
        <w:spacing w:after="0" w:line="180"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may terminate the SOW on four months’ prior written notice at any time during the Term. In addition, either party may terminate the Master Services Agreement (including the SOW) due to a breach by the other party and failure to cure. If the Azzur Suite is not ready for use by the Company as of May 1, 2019, the Company may (i) elect to terminate the SOW, (ii) wait for the Azzur Suite to become available, without incurring any costs (other than a deposit) relating to the Azzur Suite until it becomes available, or (iii) accept an alternate cleanroom space from Azzur on different terms. As the lease has not yet commenced, the financial terms of the arrangement are not included in the schedules below.</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operating lease right-of-use asset and operating lease liability represents the Binney Street lease. Finance leases are made up of laboratory and office equipment. Cash paid for amounts included in the present value of operating lease liabilities was $0.8 million during the three months ended March 31, 2019 which is included in operating cash flows.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operating and finance leases for the three months ended March 31, 2019 were:</w:t>
      </w:r>
    </w:p>
    <w:p>
      <w:pPr>
        <w:spacing w:after="0" w:line="200" w:lineRule="exact"/>
        <w:rPr>
          <w:sz w:val="20"/>
          <w:szCs w:val="20"/>
          <w:color w:val="auto"/>
        </w:rPr>
      </w:pPr>
    </w:p>
    <w:p>
      <w:pPr>
        <w:spacing w:after="0" w:line="251" w:lineRule="exact"/>
        <w:rPr>
          <w:sz w:val="20"/>
          <w:szCs w:val="20"/>
          <w:color w:val="auto"/>
        </w:rPr>
      </w:pPr>
    </w:p>
    <w:tbl>
      <w:tblPr>
        <w:tblLayout w:type="fixed"/>
        <w:tblInd w:w="2500" w:type="dxa"/>
        <w:tblCellMar>
          <w:top w:w="0" w:type="dxa"/>
          <w:left w:w="0" w:type="dxa"/>
          <w:bottom w:w="0" w:type="dxa"/>
          <w:right w:w="0" w:type="dxa"/>
        </w:tblCellMar>
      </w:tblP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40" w:type="dxa"/>
            <w:vAlign w:val="bottom"/>
            <w:gridSpan w:val="2"/>
            <w:shd w:val="clear" w:color="auto" w:fill="CFF0FC"/>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Short-term lease cost</w:t>
            </w: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on finance leases</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right-of-use asset for the operating lease is disclosed on the consolidated balance sheet. The right-of-use asset for finance leases are classified within property and equipment, net, the total right-of-use asset for finance leases is $0.9 million: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operating and finance leases at March 31, 2019 was: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82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3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60" w:type="dxa"/>
            <w:vAlign w:val="bottom"/>
          </w:tcPr>
          <w:p>
            <w:pPr>
              <w:spacing w:after="0"/>
              <w:rPr>
                <w:sz w:val="14"/>
                <w:szCs w:val="14"/>
                <w:color w:val="auto"/>
              </w:rPr>
            </w:pPr>
          </w:p>
        </w:tc>
      </w:tr>
      <w:tr>
        <w:trPr>
          <w:trHeight w:val="234"/>
        </w:trPr>
        <w:tc>
          <w:tcPr>
            <w:tcW w:w="50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9.0%</w:t>
            </w:r>
          </w:p>
        </w:tc>
        <w:tc>
          <w:tcPr>
            <w:tcW w:w="1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820" w:type="dxa"/>
            <w:vAlign w:val="bottom"/>
            <w:shd w:val="clear" w:color="auto" w:fill="CFF0FC"/>
          </w:tcPr>
          <w:p>
            <w:pPr>
              <w:ind w:left="3200"/>
              <w:spacing w:after="0"/>
              <w:rPr>
                <w:sz w:val="20"/>
                <w:szCs w:val="20"/>
                <w:color w:val="auto"/>
              </w:rPr>
            </w:pPr>
            <w:r>
              <w:rPr>
                <w:rFonts w:ascii="Times New Roman" w:cs="Times New Roman" w:eastAsia="Times New Roman" w:hAnsi="Times New Roman"/>
                <w:sz w:val="18"/>
                <w:szCs w:val="18"/>
                <w:color w:val="auto"/>
              </w:rPr>
              <w:t>9.4</w:t>
            </w:r>
          </w:p>
        </w:tc>
        <w:tc>
          <w:tcPr>
            <w:tcW w:w="13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20" w:type="dxa"/>
            <w:vAlign w:val="bottom"/>
          </w:tcPr>
          <w:p>
            <w:pPr>
              <w:jc w:val="right"/>
              <w:ind w:right="3014"/>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8" w:name="page19"/>
    <w:bookmarkEnd w:id="1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operating and finance leases at March 31, 2019 to the operating and finance lease liabilities recorded on the balance sheet:</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20" w:type="dxa"/>
            <w:vAlign w:val="bottom"/>
          </w:tcPr>
          <w:p>
            <w:pPr>
              <w:spacing w:after="0"/>
              <w:rPr>
                <w:sz w:val="14"/>
                <w:szCs w:val="14"/>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3"/>
          </w:tcPr>
          <w:p>
            <w:pPr>
              <w:jc w:val="right"/>
              <w:ind w:right="11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4"/>
        </w:trPr>
        <w:tc>
          <w:tcPr>
            <w:tcW w:w="3880" w:type="dxa"/>
            <w:vAlign w:val="bottom"/>
            <w:gridSpan w:val="2"/>
          </w:tcPr>
          <w:p>
            <w:pPr>
              <w:jc w:val="right"/>
              <w:ind w:right="3430"/>
              <w:spacing w:after="0"/>
              <w:rPr>
                <w:sz w:val="20"/>
                <w:szCs w:val="20"/>
                <w:color w:val="auto"/>
              </w:rPr>
            </w:pPr>
            <w:r>
              <w:rPr>
                <w:rFonts w:ascii="Times New Roman" w:cs="Times New Roman" w:eastAsia="Times New Roman" w:hAnsi="Times New Roman"/>
                <w:sz w:val="18"/>
                <w:szCs w:val="18"/>
                <w:color w:val="auto"/>
                <w:w w:val="94"/>
              </w:rPr>
              <w:t>2019</w:t>
            </w:r>
          </w:p>
        </w:tc>
        <w:tc>
          <w:tcPr>
            <w:tcW w:w="21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jc w:val="right"/>
              <w:ind w:right="3430"/>
              <w:spacing w:after="0"/>
              <w:rPr>
                <w:sz w:val="20"/>
                <w:szCs w:val="20"/>
                <w:color w:val="auto"/>
              </w:rPr>
            </w:pPr>
            <w:r>
              <w:rPr>
                <w:rFonts w:ascii="Times New Roman" w:cs="Times New Roman" w:eastAsia="Times New Roman" w:hAnsi="Times New Roman"/>
                <w:sz w:val="18"/>
                <w:szCs w:val="18"/>
                <w:color w:val="auto"/>
                <w:w w:val="88"/>
              </w:rPr>
              <w:t>2020</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w w:val="88"/>
              </w:rPr>
              <w:t>2021</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2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jc w:val="right"/>
              <w:ind w:right="3430"/>
              <w:spacing w:after="0"/>
              <w:rPr>
                <w:sz w:val="20"/>
                <w:szCs w:val="20"/>
                <w:color w:val="auto"/>
              </w:rPr>
            </w:pPr>
            <w:r>
              <w:rPr>
                <w:rFonts w:ascii="Times New Roman" w:cs="Times New Roman" w:eastAsia="Times New Roman" w:hAnsi="Times New Roman"/>
                <w:sz w:val="18"/>
                <w:szCs w:val="18"/>
                <w:color w:val="auto"/>
                <w:w w:val="88"/>
              </w:rPr>
              <w:t>2022</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w w:val="88"/>
              </w:rPr>
              <w:t>2023</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2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34,140</w:t>
            </w:r>
          </w:p>
        </w:tc>
        <w:tc>
          <w:tcPr>
            <w:tcW w:w="22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19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9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future lease payments for operating and capital leases as of December 31, 2018 are as follows:</w:t>
      </w:r>
    </w:p>
    <w:p>
      <w:pPr>
        <w:spacing w:after="0" w:line="200" w:lineRule="exact"/>
        <w:rPr>
          <w:sz w:val="20"/>
          <w:szCs w:val="20"/>
          <w:color w:val="auto"/>
        </w:rPr>
      </w:pPr>
    </w:p>
    <w:p>
      <w:pPr>
        <w:spacing w:after="0" w:line="31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3,175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3,369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3,574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18,067</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34,925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obligations at December 31, 2018</w:t>
            </w:r>
          </w:p>
        </w:tc>
        <w:tc>
          <w:tcPr>
            <w:tcW w:w="1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portion of capital lease obligations</w:t>
            </w:r>
          </w:p>
        </w:tc>
        <w:tc>
          <w:tcPr>
            <w:tcW w:w="14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1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17"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2018 and 2017 included in our 2018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18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advancing our proprietary drug discovery and development platform to create Synthetic Biotic™ medicines, which are designed using synthetic biology to genetically reprogram beneficial microbes to treat metabolic and inflammatory diseases and cancer. Synthetic Biotic medicines are generated by applying the principles and tools of synthetic biology to engineer beneficial microbes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Our goal is to lead in the discovery and development of Synthetic Biotic therapies as living medicines capable of robust and precise pathway complementation and delivery of therapeutic benefit to patients.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believe that our Synthetic Biotic platform has potential to address both metabolic and immune-mediated diseases and we are evaluating these medicines at different sites of action via different routes of administration, either orally or via injection. While we have designed and created a number of bacterial strains that could potentially be used therapeutically in a range of diseases, our initial focus is on metabolic diseases that could potentially be treated following oral delivery of a living medicine to the gut. This includes metabolic diseases, which include rare genetic diseases as well as metabolic diseases caused by organ dysfunction. When delivered orally, Synthetic Biotic medicines are designed to act from the gut to compensate for a dysfunctional metabolic pathway that results in the toxic accumulation of a metabolite with the intended consequence of reducing the systemic levels of the metabolite. We believe that success in our lead programs in rare metabolic diseases will enable us to demonstrate the potential of our oral Synthetic Biotic medicines to address metabolic dysfunction while bringing meaningful change to the lives of patients suffering from these debilitating conditions.</w:t>
      </w:r>
    </w:p>
    <w:p>
      <w:pPr>
        <w:spacing w:after="0" w:line="185"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Our two lead therapeutic programs are being developed for the treatment of hyperammonemia and phenylketonuria (PKU). SYNB1020, our first therapeutic program to enter clinical trials, is an oral therapy intended for the treatment of hyperammonemia, which includes patients with liver disease such as hepatic encephalopathy (HE) and patients with urea cycle disorders (UCD). In these conditions ammonia accumulates in the body and becomes toxic, leading to neurocognitive crisis and risk of long-term cognitive or behavioral impairment, coma or death. SYNB1020 has received both Fast Track Designation and orphan drug designation for UCD from the U.S. Food and Drug Administration (FDA). We initiated a Phase 1 clinical trial in June 2017 to evaluate the safety and tolerability of SYNB1020 in healthy volunteers. In November 2017, we announced top-line data from this study that demonstrated that SYNB1020 was safe and well-tolerated and achieved proof-of-mechanism. In March 2018, we initiated a clinical trial in patients with cirrhosis and elevated blood ammonia to evaluate the safety and tolerability of SYNB1020 as well as the ability of this Synthetic Biotic medicine to lower systemic levels of ammonia. We expect to have top-line data from this study in the third quarter of 2019. Upon receipt of satisfactory evidence of ammonia lowering in patients with cirrhosis, we will determine the clinical development path for SYNB1020 for the treatment of conditions resulting in hyperammonemia.</w:t>
      </w:r>
    </w:p>
    <w:p>
      <w:pPr>
        <w:spacing w:after="0" w:line="186"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SYNB1618, our second program to enter clinical trials, is an oral therapy intended for the treatment of PKU, a rare metabolic disease in which the amino acid phenylalanine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FDA. We initiated a Phase 1 / 2a clinical trial for SYNB1618 in April 2018 and announced top-line data from this study in September 2018 that demonstrated that SYNB1618 was safe and well-tolerated and achieved proof-of-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mechanism in healthy volunteers and we are currently evaluating SYNB1618 in patients with PKU. We expect to have patient data from this study in the third quarter of 2019.</w:t>
      </w:r>
    </w:p>
    <w:p>
      <w:pPr>
        <w:spacing w:after="0" w:line="16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We have developed a portfolio of immuno-oncology (IO) programs designed to deliver activities to modify the tumor microenvironment, activate the immune system and result in tumor reduction, and we envision that multiple engineered functions could be combined in one Synthetic Biotic medicine. These products could also be used in combination with other cancer therapies such as check-point inhibitors. In November 2018, we announced the selection of our first Synthetic Biotic clinical IO candidate, SYNB1891, and have advanced it into preclinical studies to enable filing of an IND application with the FDA in the second half of 2019. SYNB1891 is an intratumorally administered Synthetic Biotic medicine designed to act as a dual innate activator of the immune system by stimulation via the </w:t>
      </w:r>
      <w:r>
        <w:rPr>
          <w:rFonts w:ascii="Times New Roman" w:cs="Times New Roman" w:eastAsia="Times New Roman" w:hAnsi="Times New Roman"/>
          <w:sz w:val="18"/>
          <w:szCs w:val="18"/>
          <w:i w:val="1"/>
          <w:iCs w:val="1"/>
          <w:color w:val="auto"/>
        </w:rPr>
        <w:t>E.coli</w:t>
      </w:r>
      <w:r>
        <w:rPr>
          <w:rFonts w:ascii="Times New Roman" w:cs="Times New Roman" w:eastAsia="Times New Roman" w:hAnsi="Times New Roman"/>
          <w:sz w:val="18"/>
          <w:szCs w:val="18"/>
          <w:color w:val="auto"/>
        </w:rPr>
        <w:t xml:space="preserve"> Nissle chassis and production of cyclic di-AMP, an activator of the STING pathway.</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early-stage metabolic pipeline includes discovery-stage product candidates for rare metabolic diseases, GI and immune disorders with high unmet needs. We are also leveraging our proprietary technology platform to develop Synthetic Biotic medicines to treat a broader range of human diseases, including metabolic diseases, inflammation and cancer. Synthetic Biotic medicines can be designed to locally deliver combinations of complementary therapeutics to treat these complex disease states.</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To progress our pipeline, we collaborate with key disease experts who have developed robust models of relevant diseases to guide selection of our development candidates and to inform our translational medicine strategy. We focus on indications with clear biomarkers associated with disease progression that enable straightforward, early and ongoing assessment of potential clinical benefit throughout the development process. Our collaboration and intellectual property strategies additionally focus on building or leveraging existing third-party expertise in therapeutic research, preclinical and clinical development, manufacturing and commercialization, while also enhancing our industry-leading position in synthetic biology and metabolic engineering.</w:t>
      </w:r>
    </w:p>
    <w:p>
      <w:pPr>
        <w:spacing w:after="0" w:line="18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have a collaboration with AbbVie S.à.r.l. (AbbVie) to develop Synthetic Biotic medicines for the treatment of inflammatory bowel disease (IBD) such as Crohn’s disease and ulcerative colitis. We have also established a technology collaboration with Ginkgo Bioworks, a privately held high-throughput synthetic biology company, to enable the discovery of new living medicines. We may enter into additional strategic partnerships in the future to maximize the value of our programs and our Synthetic Biotic platform.</w:t>
      </w:r>
    </w:p>
    <w:p>
      <w:pPr>
        <w:spacing w:after="0" w:line="18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 medicines. To date, we have dedicated substantially all of our activities to the research and development of our product candidates. As of March 2019, we have received approximately $240.4 million in proceeds to date as we financed our operations through approximately $110.7 million in aggregate net proceeds from the sale of Private Synlogic preferred stock and Synlogic, LLC preferred units, approximately $0.4 million in a convertible promissory note with one of our investors, which was converted into Private Synlogic preferred stock, approximately $6.0 million in payments received under the AbbVie Agreement, approximately $40.4 million from our merger with Mirna, net of transaction costs, approximately $82.7 million in total net proceeds from the sale of our common stock in our common stock offerings in January and April 2018 and $0.2 million from exercises of stock options.</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We have incurred net losses of approximately $12.9 million and $11.2 million for the three months ended March 31, 2019 and 2018, respectively. As of March 31, 2019, we had an accumulated deficit of approximately $132.7 million, and we expect to incur losses for the foreseeable future as we develop our product candidates. We expect our expenses and capital requirements will increase substantially in connection with our ongoing activities, as we:</w:t>
      </w:r>
    </w:p>
    <w:p>
      <w:pPr>
        <w:spacing w:after="0" w:line="72"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studies, initiate and complete clinical trials for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ind w:right="20"/>
        <w:spacing w:after="0" w:line="255" w:lineRule="auto"/>
        <w:rPr>
          <w:sz w:val="20"/>
          <w:szCs w:val="20"/>
          <w:color w:val="auto"/>
        </w:rPr>
      </w:pPr>
      <w:r>
        <w:rPr>
          <w:rFonts w:ascii="Times New Roman" w:cs="Times New Roman" w:eastAsia="Times New Roman" w:hAnsi="Times New Roman"/>
          <w:sz w:val="18"/>
          <w:szCs w:val="18"/>
          <w:color w:val="auto"/>
        </w:rPr>
        <w:t>third-party contract research organizations (CROs) to carry out clinical development and both internal manufacturing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 xml:space="preserve">Revenue to date is generated from our collaboration agreement with AbbVie. The collaboration agreement contains multiple deliverables, which include an exclusive option for AbbVie to acquire IBDCo and research and development milestones. See Note 9, </w:t>
      </w:r>
      <w:r>
        <w:rPr>
          <w:rFonts w:ascii="Times New Roman" w:cs="Times New Roman" w:eastAsia="Times New Roman" w:hAnsi="Times New Roman"/>
          <w:sz w:val="18"/>
          <w:szCs w:val="18"/>
          <w:i w:val="1"/>
          <w:iCs w:val="1"/>
          <w:color w:val="auto"/>
        </w:rPr>
        <w:t>AbbVie Collaboration</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 for a full discussion of the arrangement. We expect our revenue to fluctuate for the foreseeable future as it is principally based on the achievement of research and development milestones under our collaboration agreement with AbbVie.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8"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225"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80"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 xml:space="preserve">Risks Related to the Development of Our Product Candidates </w:t>
      </w:r>
      <w:r>
        <w:rPr>
          <w:rFonts w:ascii="Times New Roman" w:cs="Times New Roman" w:eastAsia="Times New Roman" w:hAnsi="Times New Roman"/>
          <w:sz w:val="18"/>
          <w:szCs w:val="18"/>
          <w:color w:val="auto"/>
        </w:rPr>
        <w:t>in Part II, Item 1A, found elsewhere in this Quarterly Report on Form 10-Q.</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SYNB1020, SYNB1618 and SYNB1891 programs to increase as the programs progress through clinical trials and new programs progress toward IND and into development.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2" w:name="page23"/>
    <w:bookmarkEnd w:id="22"/>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8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SYNB1020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SYNB1618</w:t>
            </w: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SYNB1891</w:t>
            </w: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pre-development candidate expenses and unallocated expenses*</w:t>
            </w: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0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5,366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8,361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right="40"/>
        <w:spacing w:after="0" w:line="281" w:lineRule="auto"/>
        <w:rPr>
          <w:sz w:val="20"/>
          <w:szCs w:val="20"/>
          <w:color w:val="auto"/>
        </w:rPr>
      </w:pPr>
      <w:r>
        <w:rPr>
          <w:rFonts w:ascii="Times New Roman" w:cs="Times New Roman" w:eastAsia="Times New Roman" w:hAnsi="Times New Roman"/>
          <w:sz w:val="16"/>
          <w:szCs w:val="16"/>
          <w:color w:val="auto"/>
        </w:rPr>
        <w:t>*Lab supplies of $0.7 million were reclassified from external pre-development candidate expenses and unallocated expenses to internal research and development expenses for the three months ended March 31, 2018. Lab supplies are classified as internal research and development expenses for the three months ended March 31, 2019.</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operating as a public company. These increases include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investment income consists primarily of income earned on investments. Interest expense consists of expense related to our finance leases.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consists primarily of gains and losses on foreign currency invoices.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in our 2018 Annual Report. During the three months ended March 31, 2019, there were no material changes to our critical accounting policies. We believe that these identified policies are critical to fully understanding and evaluating our financial condition and results of operations.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 Compared to Three Months Ended March 31, 2018</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56"/>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3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56"/>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10,384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8,361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3,651</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3,629</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14,035</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11,990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2,045</w:t>
            </w: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1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751</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35"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Revenue was $0.3 million for the three months ended March 31, 2019 as compared to $0.4 million for the three months ended March 31, 2018. The revenue for both periods is associated with the AbbVie collaboration. The decrease in revenue was due to lower revenue recognition related to time and effort over the performance period for the three months ended March 31, 2019 as compared to March 31,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was $10.4 million for the three months ended March 31, 2019 compared to $8.4 million in the corresponding period in 2018. The increase in research and development expense of $2.0 million was primarily due to an increase of $0.7 million in compensation, benefits and other employee-related expenses associated with increased headcount, an increase of $0.5 million of research and development support costs, an increase of $0.4 million in clinical development costs for our SYNB1020 program, an increase of $0.3 million of manufacturing costs for our SYNB1891 program and an increase of $0.9 million in nonclinical development costs for our SYNB1891 program. Research and development support costs include increased lease cost and depreciation from our 301 Binney Street facility, which we occupied in February 2018. These increases were partially offset by decreases of $0.6 million in manufacturing costs for our SYNB1618 program, $0.1 million of professional services and $0.1 million of clinical development costs for our SYNB1618 program.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$3.7 million for the three months ended March 31, 2019 compared to $3.6 million for the corresponding period in 2018. The increase -was primarily due to an increase of $0.3 million in compensation, benefits and other employee-related expenses associated with increased headcount and equity-based compensation. These increases were partially offset by a decrease of $0.2 million in one-time information technology (IT) expenses related to the move and build out of IT infrastructure at 301 Binney Street in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Other income (expense) for the three months ended March 31, 2019 was $0.8 million compared to $0.5 million for the corresponding period in 2018. The increase in other income (expense) of $0.3 million was related to an increase in interest and investment income resulting from higher cash balances and higher interest rates generated by our investment account.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March 31, 2019, we had an accumulated deficit of approximately $132.7 million. We have financed our operations to date primarily through the sale of preferred stock, common stock, preferred units, payments received under our AbbVie collaboration agreement, interest earned on investments, and cash received in the Merger. At March 31, 2019, we had $109.8 million in cash, cash equivalents, and marketable securities. Our cash and cash equivalents include amounts held in money market funds and corporate debt securities, stated at cost plus unrealized gain and loss, which approximates fair market value. Our available-for-sale securities include amounts held in corporate debt securities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our cash, cash equivalents and marketable securities balance decreased approximately $12.9 million. These decreases were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We also made capital purchases and made payments on our finance leases.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80" w:type="dxa"/>
            <w:vAlign w:val="bottom"/>
          </w:tcPr>
          <w:p>
            <w:pPr>
              <w:spacing w:after="0"/>
              <w:rPr>
                <w:sz w:val="13"/>
                <w:szCs w:val="13"/>
                <w:color w:val="auto"/>
              </w:rPr>
            </w:pPr>
          </w:p>
        </w:tc>
      </w:tr>
      <w:tr>
        <w:trPr>
          <w:trHeight w:val="156"/>
        </w:trPr>
        <w:tc>
          <w:tcPr>
            <w:tcW w:w="5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1"/>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(used in)</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provided by:</w:t>
            </w: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(13,118)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(13,031)</w:t>
            </w:r>
          </w:p>
        </w:tc>
      </w:tr>
      <w:tr>
        <w:trPr>
          <w:trHeight w:val="230"/>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(71,868)</w:t>
            </w:r>
          </w:p>
        </w:tc>
      </w:tr>
      <w:tr>
        <w:trPr>
          <w:trHeight w:val="230"/>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53,644</w:t>
            </w:r>
          </w:p>
        </w:tc>
        <w:tc>
          <w:tcPr>
            <w:tcW w:w="80" w:type="dxa"/>
            <w:vAlign w:val="bottom"/>
          </w:tcPr>
          <w:p>
            <w:pPr>
              <w:spacing w:after="0"/>
              <w:rPr>
                <w:sz w:val="19"/>
                <w:szCs w:val="19"/>
                <w:color w:val="auto"/>
              </w:rPr>
            </w:pPr>
          </w:p>
        </w:tc>
      </w:tr>
      <w:tr>
        <w:trPr>
          <w:trHeight w:val="205"/>
        </w:trPr>
        <w:tc>
          <w:tcPr>
            <w:tcW w:w="51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6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(31,255)</w:t>
            </w: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$13.1 million for the three months ended March 31, 2019. The primary use of cash was our net loss of $12.9 million and a decrease in working capital of $1.6 million, primarily related to decreases in accounts payable and accrued expenses, and an increase in operating lease liability and accounts receivable offset by an increase in deferred revenue and prepaid expenses and other current assets. Net loss was partially offset by $1.4 million of non-cash items primarily including depreciation and equity-based compensation.</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cash used in operating activities was $13.0 million for the three months ended March 31, 2018. The primary use of cash was our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million and a decrease in working capital of $3.2 million, primarily related to decreases in accounts payable and accrued expenses. These uses of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partially offset by $1.4 million of non-cash items including depreciation and equity-based compensation.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Net cash provided in investing activities for the three months ended March 31, 2019 was $17.7 million and resulted primarily from the proceeds of maturity of marketable securities of $57.3 million. The increase was partially offset by purchases of marketable securities of $39.3 million and purchases of property and equipment of $0.3 million.</w:t>
      </w:r>
    </w:p>
    <w:p>
      <w:pPr>
        <w:spacing w:after="0" w:line="68"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2018 was $71.9 million and resulted primarily from the purchases of securities of $75.0 million and the purchases of property and equipment of $1.9 million. These uses were partially offset by proceeds from the maturity of marketable securities of $5.0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4"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2019 totaled $0.1 million solely related to payments on our finance leases.</w:t>
      </w:r>
    </w:p>
    <w:p>
      <w:pPr>
        <w:spacing w:after="0" w:line="117"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2018 totaled $53.6 million as a result of the $53.8 million in net proceeds from the sale of our common stock in January 2018, partially offset by payments on our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generated revenue from our AbbVie collaboration, but have not generated any product revenue since our inception and do not expect to generate any product revenue unless we receive regulatory approval for our product candidates. We believe that our cash on hand as of March 31, 2019,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89" w:lineRule="exact"/>
        <w:rPr>
          <w:sz w:val="20"/>
          <w:szCs w:val="20"/>
          <w:color w:val="auto"/>
        </w:rPr>
      </w:pPr>
    </w:p>
    <w:p>
      <w:pPr>
        <w:ind w:right="580" w:firstLine="518"/>
        <w:spacing w:after="0" w:line="266"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68"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 and</w:t>
      </w:r>
    </w:p>
    <w:p>
      <w:pPr>
        <w:spacing w:after="0" w:line="117"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16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t>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and commitments set forth under the heading “Management’s Discussion and Analysis of Financial Condition and Results of Operations- Contractual Obligations and Commitments” in our 2018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color w:val="auto"/>
        </w:rPr>
        <w:t>For additional transactions with related parties which may fall outside of the reporting period of this section, please see the section entitled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Party Transactions of Directors and Executive Officers of the Combined Organization – Synlogic Transactions” </w:t>
      </w:r>
      <w:r>
        <w:rPr>
          <w:rFonts w:ascii="Times New Roman" w:cs="Times New Roman" w:eastAsia="Times New Roman" w:hAnsi="Times New Roman"/>
          <w:sz w:val="18"/>
          <w:szCs w:val="18"/>
          <w:color w:val="auto"/>
        </w:rPr>
        <w:t>in our proxy statement filed with the SEC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18,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w:t>
      </w:r>
    </w:p>
    <w:p>
      <w:pPr>
        <w:spacing w:after="0" w:line="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special purpose entities, that would have been established for the purpose of facilitating off-balance sheet arrangements (as that term is defined in Item 303(a) (4)(ii)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 xml:space="preserve">For detailed information regarding recently issued accounting pronouncements and the expected impact on our consolidated financial statements,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this information required under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21" w:lineRule="exact"/>
        <w:rPr>
          <w:sz w:val="20"/>
          <w:szCs w:val="20"/>
          <w:color w:val="auto"/>
        </w:rPr>
      </w:pPr>
    </w:p>
    <w:p>
      <w:pPr>
        <w:ind w:right="60" w:firstLine="588"/>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88" w:lineRule="exact"/>
        <w:rPr>
          <w:sz w:val="20"/>
          <w:szCs w:val="20"/>
          <w:color w:val="auto"/>
        </w:rPr>
      </w:pPr>
    </w:p>
    <w:p>
      <w:pPr>
        <w:ind w:right="140" w:firstLine="588"/>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88"/>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jc w:val="both"/>
        <w:ind w:right="240" w:firstLine="58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March 31, 2019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 Risk Factors.</w:t>
      </w:r>
    </w:p>
    <w:p>
      <w:pPr>
        <w:spacing w:after="0" w:line="227"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8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51"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Synthetic Biotic medicines and we have incurred significant operating losses since our inception. Our net loss was approximately $12.9 million and $11.2 million for the three months ended March 31, 2019 and 2018 respectively. As of March 31, 2019, we had an accumulated deficit of approximately $132.7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ready for commercialization.</w:t>
      </w:r>
    </w:p>
    <w:p>
      <w:pPr>
        <w:spacing w:after="0" w:line="18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29" w:name="page30"/>
    <w:bookmarkEnd w:id="29"/>
    <w:p>
      <w:pPr>
        <w:ind w:right="140"/>
        <w:spacing w:after="0" w:line="255" w:lineRule="auto"/>
        <w:rPr>
          <w:sz w:val="20"/>
          <w:szCs w:val="20"/>
          <w:color w:val="auto"/>
        </w:rPr>
      </w:pPr>
      <w:r>
        <w:rPr>
          <w:rFonts w:ascii="Times New Roman" w:cs="Times New Roman" w:eastAsia="Times New Roman" w:hAnsi="Times New Roman"/>
          <w:sz w:val="18"/>
          <w:szCs w:val="18"/>
          <w:color w:val="auto"/>
        </w:rPr>
        <w:t>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68"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225"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68" w:lineRule="exact"/>
        <w:rPr>
          <w:sz w:val="20"/>
          <w:szCs w:val="20"/>
          <w:color w:val="auto"/>
        </w:rPr>
      </w:pPr>
    </w:p>
    <w:p>
      <w:pPr>
        <w:ind w:left="1040" w:right="72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0" w:name="page31"/>
    <w:bookmarkEnd w:id="30"/>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earthquakes or other natural disasters;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June 2017, we initiated a Phase 1 clinical trial with SYNB1020 in healthy volunteers, in April 2018, we announced that we dosed the first patient in our Phase 1b / 2a clinical trial of SYNB1020 for treatment of hyperammonemia in patients with cirrhosis, and in April 2018 we dosed our first subject in a Phase 1 / 2a clinical trial of SYNB1618 which is being developed for the treatment of patients with PKU, however all of our other therapeutic programs are still in the preclinical development stage.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1" w:lineRule="exact"/>
        <w:rPr>
          <w:sz w:val="20"/>
          <w:szCs w:val="20"/>
          <w:color w:val="auto"/>
        </w:rPr>
      </w:pPr>
    </w:p>
    <w:p>
      <w:pPr>
        <w:ind w:right="260" w:firstLine="518"/>
        <w:spacing w:after="0" w:line="289" w:lineRule="auto"/>
        <w:rPr>
          <w:sz w:val="20"/>
          <w:szCs w:val="20"/>
          <w:color w:val="auto"/>
        </w:rPr>
      </w:pPr>
      <w:r>
        <w:rPr>
          <w:rFonts w:ascii="Times New Roman" w:cs="Times New Roman" w:eastAsia="Times New Roman" w:hAnsi="Times New Roman"/>
          <w:sz w:val="17"/>
          <w:szCs w:val="17"/>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50" w:lineRule="exact"/>
        <w:rPr>
          <w:sz w:val="20"/>
          <w:szCs w:val="20"/>
          <w:color w:val="auto"/>
        </w:rPr>
      </w:pPr>
    </w:p>
    <w:p>
      <w:pPr>
        <w:ind w:left="1040" w:right="30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1" w:name="page32"/>
    <w:bookmarkEnd w:id="31"/>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53" w:lineRule="exact"/>
        <w:rPr>
          <w:rFonts w:ascii="Times New Roman" w:cs="Times New Roman" w:eastAsia="Times New Roman" w:hAnsi="Times New Roman"/>
          <w:sz w:val="18"/>
          <w:szCs w:val="18"/>
          <w:color w:val="auto"/>
        </w:rPr>
      </w:pPr>
    </w:p>
    <w:p>
      <w:pPr>
        <w:ind w:left="1040" w:right="76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8" w:lineRule="exact"/>
        <w:rPr>
          <w:rFonts w:ascii="Times New Roman" w:cs="Times New Roman" w:eastAsia="Times New Roman" w:hAnsi="Times New Roman"/>
          <w:sz w:val="18"/>
          <w:szCs w:val="18"/>
          <w:color w:val="auto"/>
        </w:rPr>
      </w:pPr>
    </w:p>
    <w:p>
      <w:pPr>
        <w:ind w:left="1040" w:right="320" w:hanging="519"/>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6"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1"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5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decrease our ability to generate sufficient product revenue, and our business, financial condition, results of operations and prospects may be harmed.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76"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860" w:firstLine="51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6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3"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Clinical trials by their nature utilize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29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Some of our product candidates have produced results in preclinical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67"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to identify, acquire and develop our portfolio of product candidates. Our future success is dependent on our ability to successfully further develop, obtain regulatory approval for,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3" w:name="page34"/>
    <w:bookmarkEnd w:id="33"/>
    <w:p>
      <w:pPr>
        <w:ind w:right="620"/>
        <w:spacing w:after="0" w:line="282" w:lineRule="auto"/>
        <w:rPr>
          <w:sz w:val="20"/>
          <w:szCs w:val="20"/>
          <w:color w:val="auto"/>
        </w:rPr>
      </w:pPr>
      <w:r>
        <w:rPr>
          <w:rFonts w:ascii="Times New Roman" w:cs="Times New Roman" w:eastAsia="Times New Roman" w:hAnsi="Times New Roman"/>
          <w:sz w:val="18"/>
          <w:szCs w:val="18"/>
          <w:color w:val="auto"/>
        </w:rPr>
        <w:t>commercialize one or more product candidates. We currently generate no revenue from sales of any products, and we may never be able to develop or commercialize a product candidate.</w:t>
      </w:r>
    </w:p>
    <w:p>
      <w:pPr>
        <w:spacing w:after="0" w:line="162"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August 2016, the FDA granted orphan drug designation to SYNB1020 for the treatment of UCD and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4" w:name="page35"/>
    <w:bookmarkEnd w:id="34"/>
    <w:p>
      <w:pPr>
        <w:ind w:right="40"/>
        <w:spacing w:after="0" w:line="258" w:lineRule="auto"/>
        <w:rPr>
          <w:sz w:val="20"/>
          <w:szCs w:val="20"/>
          <w:color w:val="auto"/>
        </w:rPr>
      </w:pPr>
      <w:r>
        <w:rPr>
          <w:rFonts w:ascii="Times New Roman" w:cs="Times New Roman" w:eastAsia="Times New Roman" w:hAnsi="Times New Roman"/>
          <w:sz w:val="18"/>
          <w:szCs w:val="18"/>
          <w:color w:val="auto"/>
        </w:rPr>
        <w:t>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2,000 patients diagnosed with UCD in the United States, and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9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85"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5" w:name="page36"/>
    <w:bookmarkEnd w:id="35"/>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225"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8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9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SYNB1020 in June 2017 and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6" w:name="page37"/>
    <w:bookmarkEnd w:id="36"/>
    <w:p>
      <w:pPr>
        <w:ind w:right="540"/>
        <w:spacing w:after="0" w:line="282" w:lineRule="auto"/>
        <w:rPr>
          <w:sz w:val="20"/>
          <w:szCs w:val="20"/>
          <w:color w:val="auto"/>
        </w:rPr>
      </w:pPr>
      <w:r>
        <w:rPr>
          <w:rFonts w:ascii="Times New Roman" w:cs="Times New Roman" w:eastAsia="Times New Roman" w:hAnsi="Times New Roman"/>
          <w:sz w:val="18"/>
          <w:szCs w:val="18"/>
          <w:color w:val="auto"/>
        </w:rPr>
        <w:t>manufacturers will be subject to continual review and inspections to assess compliance with GMP and adherence to commitments made in any BLA or marketing authorization application.</w:t>
      </w:r>
    </w:p>
    <w:p>
      <w:pPr>
        <w:spacing w:after="0" w:line="16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25"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0"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ind w:right="120" w:firstLine="518"/>
        <w:spacing w:after="0" w:line="274"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financial condition or results of operations.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ind w:right="120"/>
        <w:spacing w:after="0" w:line="266" w:lineRule="auto"/>
        <w:rPr>
          <w:sz w:val="20"/>
          <w:szCs w:val="20"/>
          <w:color w:val="auto"/>
        </w:rPr>
      </w:pPr>
      <w:r>
        <w:rPr>
          <w:rFonts w:ascii="Times New Roman" w:cs="Times New Roman" w:eastAsia="Times New Roman" w:hAnsi="Times New Roman"/>
          <w:sz w:val="18"/>
          <w:szCs w:val="18"/>
          <w:color w:val="auto"/>
        </w:rPr>
        <w:t>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7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0"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9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6" w:lineRule="exact"/>
        <w:rPr>
          <w:sz w:val="20"/>
          <w:szCs w:val="20"/>
          <w:color w:val="auto"/>
        </w:rPr>
      </w:pPr>
    </w:p>
    <w:p>
      <w:pPr>
        <w:ind w:left="1040" w:hanging="519"/>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8" w:lineRule="exact"/>
        <w:rPr>
          <w:rFonts w:ascii="Times New Roman" w:cs="Times New Roman" w:eastAsia="Times New Roman" w:hAnsi="Times New Roman"/>
          <w:sz w:val="18"/>
          <w:szCs w:val="18"/>
          <w:color w:val="auto"/>
        </w:rPr>
      </w:pPr>
    </w:p>
    <w:p>
      <w:pPr>
        <w:jc w:val="both"/>
        <w:ind w:left="1040" w:right="260" w:hanging="519"/>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68"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40" w:right="160" w:hanging="519"/>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1" w:lineRule="exact"/>
        <w:rPr>
          <w:rFonts w:ascii="Times New Roman" w:cs="Times New Roman" w:eastAsia="Times New Roman" w:hAnsi="Times New Roman"/>
          <w:sz w:val="18"/>
          <w:szCs w:val="18"/>
          <w:color w:val="auto"/>
        </w:rPr>
      </w:pPr>
    </w:p>
    <w:p>
      <w:pPr>
        <w:ind w:left="1040" w:right="120" w:hanging="519"/>
        <w:spacing w:after="0" w:line="255"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38" w:name="page39"/>
    <w:bookmarkEnd w:id="38"/>
    <w:p>
      <w:pPr>
        <w:ind w:right="140"/>
        <w:spacing w:after="0" w:line="261" w:lineRule="auto"/>
        <w:rPr>
          <w:sz w:val="20"/>
          <w:szCs w:val="20"/>
          <w:color w:val="auto"/>
        </w:rPr>
      </w:pPr>
      <w:r>
        <w:rPr>
          <w:rFonts w:ascii="Times New Roman" w:cs="Times New Roman" w:eastAsia="Times New Roman" w:hAnsi="Times New Roman"/>
          <w:sz w:val="18"/>
          <w:szCs w:val="18"/>
          <w:color w:val="auto"/>
        </w:rPr>
        <w:t>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80"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3"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9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0"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8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our clients and potentially exposing us to additional expense, adverse publicity and liability. Further, as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9" w:name="page40"/>
    <w:bookmarkEnd w:id="39"/>
    <w:p>
      <w:pPr>
        <w:ind w:right="60"/>
        <w:spacing w:after="0" w:line="282" w:lineRule="auto"/>
        <w:rPr>
          <w:sz w:val="20"/>
          <w:szCs w:val="20"/>
          <w:color w:val="auto"/>
        </w:rPr>
      </w:pPr>
      <w:r>
        <w:rPr>
          <w:rFonts w:ascii="Times New Roman" w:cs="Times New Roman" w:eastAsia="Times New Roman" w:hAnsi="Times New Roman"/>
          <w:sz w:val="18"/>
          <w:szCs w:val="18"/>
          <w:color w:val="auto"/>
        </w:rPr>
        <w:t>regulatory focus on privacy issues continues to increase and laws and regulations concerning the protection of personal information expand and become more complex, these potential risks to our business could intensify.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225"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76"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the United States, California recently adopted the California Consumer Privacy Act of 2018, or CCPA, which will come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0"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84"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5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84"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8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7"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76"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8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42" w:name="page43"/>
    <w:bookmarkEnd w:id="42"/>
    <w:p>
      <w:pPr>
        <w:ind w:right="220"/>
        <w:spacing w:after="0" w:line="282" w:lineRule="auto"/>
        <w:rPr>
          <w:sz w:val="20"/>
          <w:szCs w:val="20"/>
          <w:color w:val="auto"/>
        </w:rPr>
      </w:pPr>
      <w:r>
        <w:rPr>
          <w:rFonts w:ascii="Times New Roman" w:cs="Times New Roman" w:eastAsia="Times New Roman" w:hAnsi="Times New Roman"/>
          <w:sz w:val="18"/>
          <w:szCs w:val="18"/>
          <w:color w:val="auto"/>
        </w:rPr>
        <w:t>commercialization of any product candidates that we may develop. Further, if we encounter delays in regulatory approvals, the period of time during which we could market a product candidate under patent protection could be reduced.</w:t>
      </w:r>
    </w:p>
    <w:p>
      <w:pPr>
        <w:spacing w:after="0" w:line="162"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6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ind w:right="100"/>
        <w:spacing w:after="0" w:line="261" w:lineRule="auto"/>
        <w:rPr>
          <w:sz w:val="20"/>
          <w:szCs w:val="20"/>
          <w:color w:val="auto"/>
        </w:rPr>
      </w:pPr>
      <w:r>
        <w:rPr>
          <w:rFonts w:ascii="Times New Roman" w:cs="Times New Roman" w:eastAsia="Times New Roman" w:hAnsi="Times New Roman"/>
          <w:sz w:val="18"/>
          <w:szCs w:val="18"/>
          <w:color w:val="auto"/>
        </w:rPr>
        <w:t>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8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84"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4" w:name="page45"/>
    <w:bookmarkEnd w:id="44"/>
    <w:p>
      <w:pPr>
        <w:ind w:right="140"/>
        <w:spacing w:after="0" w:line="266" w:lineRule="auto"/>
        <w:rPr>
          <w:sz w:val="20"/>
          <w:szCs w:val="20"/>
          <w:color w:val="auto"/>
        </w:rPr>
      </w:pPr>
      <w:r>
        <w:rPr>
          <w:rFonts w:ascii="Times New Roman" w:cs="Times New Roman" w:eastAsia="Times New Roman" w:hAnsi="Times New Roman"/>
          <w:sz w:val="18"/>
          <w:szCs w:val="18"/>
          <w:color w:val="auto"/>
        </w:rPr>
        <w:t>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93"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240" w:firstLine="518"/>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5" w:name="page46"/>
    <w:bookmarkEnd w:id="45"/>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67" w:lineRule="exact"/>
        <w:rPr>
          <w:sz w:val="20"/>
          <w:szCs w:val="20"/>
          <w:color w:val="auto"/>
        </w:rPr>
      </w:pPr>
    </w:p>
    <w:p>
      <w:pPr>
        <w:ind w:right="120" w:firstLine="518"/>
        <w:spacing w:after="0" w:line="272" w:lineRule="auto"/>
        <w:rPr>
          <w:sz w:val="20"/>
          <w:szCs w:val="20"/>
          <w:color w:val="auto"/>
        </w:rPr>
      </w:pPr>
      <w:r>
        <w:rPr>
          <w:rFonts w:ascii="Times New Roman" w:cs="Times New Roman" w:eastAsia="Times New Roman" w:hAnsi="Times New Roman"/>
          <w:sz w:val="17"/>
          <w:szCs w:val="17"/>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6" w:name="page47"/>
    <w:bookmarkEnd w:id="4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2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51" w:lineRule="exact"/>
        <w:rPr>
          <w:sz w:val="20"/>
          <w:szCs w:val="20"/>
          <w:color w:val="auto"/>
        </w:rPr>
      </w:pPr>
    </w:p>
    <w:p>
      <w:pPr>
        <w:jc w:val="both"/>
        <w:ind w:firstLine="518"/>
        <w:spacing w:after="0" w:line="289" w:lineRule="auto"/>
        <w:rPr>
          <w:sz w:val="20"/>
          <w:szCs w:val="20"/>
          <w:color w:val="auto"/>
        </w:rPr>
      </w:pPr>
      <w:r>
        <w:rPr>
          <w:rFonts w:ascii="Times New Roman" w:cs="Times New Roman" w:eastAsia="Times New Roman" w:hAnsi="Times New Roman"/>
          <w:sz w:val="17"/>
          <w:szCs w:val="17"/>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5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0"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0"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7" w:name="page48"/>
    <w:bookmarkEnd w:id="47"/>
    <w:p>
      <w:pPr>
        <w:ind w:right="160"/>
        <w:spacing w:after="0" w:line="282" w:lineRule="auto"/>
        <w:rPr>
          <w:sz w:val="20"/>
          <w:szCs w:val="20"/>
          <w:color w:val="auto"/>
        </w:rPr>
      </w:pPr>
      <w:r>
        <w:rPr>
          <w:rFonts w:ascii="Times New Roman" w:cs="Times New Roman" w:eastAsia="Times New Roman" w:hAnsi="Times New Roman"/>
          <w:sz w:val="18"/>
          <w:szCs w:val="18"/>
          <w:color w:val="auto"/>
        </w:rPr>
        <w:t>in hiring and retaining the experienced specialized personnel needed to operate our manufacturing process, which could result in delays in our production or difficulties in maintaining compliance with applicable regulatory requirements.</w:t>
      </w:r>
    </w:p>
    <w:p>
      <w:pPr>
        <w:spacing w:after="0" w:line="162"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76"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8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0"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are currently party to an agreement with AbbVie.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40" w:right="66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9" w:name="page50"/>
    <w:bookmarkEnd w:id="49"/>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21"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Acer Therapeutics, Inc., Aeglea BioTherapeutics, Inc., Arcturus Therapeutics Inc., Ultragenyx Pharmaceutical Inc., Horizon Pharma plc, Kaleido Biosciences, Inc., Selecta Biosciences, Inc., Translate Bio, Inc. and Versantis AG have developed or are developing product candidates for the treatment of UCD; Bausch Health Companies Inc., Kaleido Biosciences, Inc., Mallinckrodt plc, Rebiotix, Inc./Ferring, Umecrine Cognition AB, Versantis AG as well as other preclinical and discovery stage companies have developed or are each developing product candidates for the treatment of HE; and American Gene Technologies International Inc., BioMarin, Inc., Censa Pharmaceuticals, Inc., Codexis, Inc., Homology Medicines, Inc., MipSalus ApS, Moderna Therapeutics, and Rubius Therapeutics, Inc. have developed or are developing product candidates for the treatment of PKU.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Intrexon Corp. Further there are several companies working to develop other similar products. Many of our competitors have substantially greater financial, technical and other resources, such as larger research and development staff and experienced marketing and manufacturing organizations. Third-party payors, including governmental and private insurers, may also encourage the use of generic products.</w:t>
      </w:r>
    </w:p>
    <w:p>
      <w:pPr>
        <w:spacing w:after="0" w:line="197"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6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5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4" w:right="279" w:bottom="1440" w:gutter="0" w:footer="0" w:header="0"/>
        </w:sectPr>
      </w:pPr>
    </w:p>
    <w:bookmarkStart w:id="50" w:name="page51"/>
    <w:bookmarkEnd w:id="50"/>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2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6" w:lineRule="exact"/>
        <w:rPr>
          <w:sz w:val="20"/>
          <w:szCs w:val="20"/>
          <w:color w:val="auto"/>
        </w:rPr>
      </w:pPr>
    </w:p>
    <w:p>
      <w:pPr>
        <w:ind w:left="1040" w:right="720" w:hanging="519"/>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1" w:name="page52"/>
    <w:bookmarkEnd w:id="51"/>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5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88"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5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chief executive officer and chief medical officer, chief financial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relation to our product candidates, including those laws requiring the reporting of true, complete and accurate information to such authorities;</w:t>
      </w:r>
    </w:p>
    <w:p>
      <w:pPr>
        <w:spacing w:after="0" w:line="27" w:lineRule="exact"/>
        <w:rPr>
          <w:sz w:val="20"/>
          <w:szCs w:val="20"/>
          <w:color w:val="auto"/>
        </w:rPr>
      </w:pPr>
    </w:p>
    <w:p>
      <w:pPr>
        <w:ind w:right="60" w:firstLine="8"/>
        <w:spacing w:after="0" w:line="251"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9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5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executive officers are parties to employment agreements providing for aggregate cash payments of up to approximately $1.1 million at March 31, 2019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Synlogic.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May 2, 2019, our executive officers and directors, together with holders of 5% or more of our common stock outstanding and their respective affiliates, beneficially own approximately 55.9%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3" w:name="page54"/>
    <w:bookmarkEnd w:id="53"/>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May 2, 2019, there were a total of 25,388,643 shares of our common stock outstanding.</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execution of any collaborative, licensing or similar arrangements, and the timing of payments we may make under these arrangements; and</w:t>
      </w:r>
    </w:p>
    <w:p>
      <w:pPr>
        <w:spacing w:after="0" w:line="128" w:lineRule="exact"/>
        <w:rPr>
          <w:rFonts w:ascii="Times New Roman" w:cs="Times New Roman" w:eastAsia="Times New Roman" w:hAnsi="Times New Roman"/>
          <w:sz w:val="17"/>
          <w:szCs w:val="17"/>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25"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2"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17"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4" w:name="page55"/>
    <w:bookmarkEnd w:id="54"/>
    <w:p>
      <w:pPr>
        <w:ind w:firstLine="518"/>
        <w:spacing w:after="0" w:line="253"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Furthermore, our amended and restated certificate of incorporation specifies that the Court of Chancery of the State of Delaware will be the sole and exclusive forum for most legal actions involving actions brought against us by our stockholders. We believe this provision benefits the company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93"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5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8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5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9"/>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4960" w:type="dxa"/>
            <w:vAlign w:val="bottom"/>
            <w:gridSpan w:val="8"/>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3"/>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gridSpan w:val="8"/>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412"/>
        </w:trPr>
        <w:tc>
          <w:tcPr>
            <w:tcW w:w="8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51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Separation Agreement, dated as of December 17, 2018 by and between</w:t>
              </w:r>
            </w:hyperlink>
          </w:p>
        </w:tc>
        <w:tc>
          <w:tcPr>
            <w:tcW w:w="700" w:type="dxa"/>
            <w:vAlign w:val="bottom"/>
            <w:gridSpan w:val="5"/>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gridSpan w:val="10"/>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Andrew Gengos and Synlogic, Inc.</w:t>
              </w:r>
            </w:hyperlink>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4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Certification of Chief Executive Officer required by Rule 13a-14(a) or Rule</w:t>
              </w:r>
            </w:hyperlink>
          </w:p>
        </w:tc>
        <w:tc>
          <w:tcPr>
            <w:tcW w:w="380" w:type="dxa"/>
            <w:vAlign w:val="bottom"/>
            <w:gridSpan w:val="3"/>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15d-14(a).</w:t>
              </w:r>
            </w:hyperlink>
          </w:p>
        </w:tc>
        <w:tc>
          <w:tcPr>
            <w:tcW w:w="508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840" w:type="dxa"/>
            <w:vAlign w:val="bottom"/>
            <w:gridSpan w:val="10"/>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Certification of Chief Financial Officer required by Rule 13a-14(a) or Rule</w:t>
              </w:r>
            </w:hyperlink>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7">
              <w:r>
                <w:rPr>
                  <w:rFonts w:ascii="Times New Roman" w:cs="Times New Roman" w:eastAsia="Times New Roman" w:hAnsi="Times New Roman"/>
                  <w:sz w:val="18"/>
                  <w:szCs w:val="18"/>
                  <w:color w:val="0000EE"/>
                  <w:w w:val="97"/>
                </w:rPr>
                <w:t>15d-14(a).</w:t>
              </w:r>
            </w:hyperlink>
          </w:p>
        </w:tc>
        <w:tc>
          <w:tcPr>
            <w:tcW w:w="4640" w:type="dxa"/>
            <w:vAlign w:val="bottom"/>
            <w:tcBorders>
              <w:top w:val="single" w:sz="8" w:color="0000EE"/>
            </w:tcBorders>
            <w:gridSpan w:val="5"/>
          </w:tcPr>
          <w:p>
            <w:pPr>
              <w:spacing w:after="0"/>
              <w:rPr>
                <w:sz w:val="17"/>
                <w:szCs w:val="17"/>
                <w:color w:val="auto"/>
              </w:rPr>
            </w:pPr>
          </w:p>
        </w:tc>
        <w:tc>
          <w:tcPr>
            <w:tcW w:w="4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5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Certification required by Rule 13a-14(b) or Rule 15d-14(b) and Section 1350</w:t>
              </w:r>
            </w:hyperlink>
          </w:p>
        </w:tc>
        <w:tc>
          <w:tcPr>
            <w:tcW w:w="280" w:type="dxa"/>
            <w:vAlign w:val="bottom"/>
            <w:gridSpan w:val="2"/>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of Chapter 63 of Title 18 of the United States Code (18 U.S.C. §1350).</w:t>
              </w:r>
            </w:hyperlink>
          </w:p>
        </w:tc>
        <w:tc>
          <w:tcPr>
            <w:tcW w:w="7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5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Certification required by Rule 13a-14(b) or Rule 15d-14(b) and Section 1350</w:t>
              </w:r>
            </w:hyperlink>
          </w:p>
        </w:tc>
        <w:tc>
          <w:tcPr>
            <w:tcW w:w="280" w:type="dxa"/>
            <w:vAlign w:val="bottom"/>
            <w:gridSpan w:val="2"/>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of Chapter 63 of Title 18 of the United States Code (18 U.S.C. §1350).</w:t>
              </w:r>
            </w:hyperlink>
          </w:p>
        </w:tc>
        <w:tc>
          <w:tcPr>
            <w:tcW w:w="7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690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91" w:lineRule="exact"/>
        <w:rPr>
          <w:sz w:val="20"/>
          <w:szCs w:val="20"/>
          <w:color w:val="auto"/>
        </w:rPr>
      </w:pPr>
    </w:p>
    <w:p>
      <w:pPr>
        <w:ind w:left="520" w:right="10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4"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plans or agreements.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6" w:name="page57"/>
    <w:bookmarkEnd w:id="5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SYNLOGIC, INC.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OIFE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RENNAN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President, Chief Executive Officer and Chief Medical</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T</w:t>
      </w:r>
      <w:r>
        <w:rPr>
          <w:rFonts w:ascii="Times New Roman" w:cs="Times New Roman" w:eastAsia="Times New Roman" w:hAnsi="Times New Roman"/>
          <w:sz w:val="12"/>
          <w:szCs w:val="12"/>
          <w:color w:val="auto"/>
        </w:rPr>
        <w:t>ODD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HEGOG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(Principal Financial Officer and Principal Accounting</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80"/>
          </w:cols>
          <w:pgMar w:left="240" w:top="360" w:right="4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Synlogic, Inc.</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301 Binney Street, Suite 402</w:t>
      </w:r>
    </w:p>
    <w:p>
      <w:pPr>
        <w:ind w:left="4760"/>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December 15, 2018</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b w:val="1"/>
          <w:bCs w:val="1"/>
          <w:u w:val="single" w:color="auto"/>
          <w:color w:val="auto"/>
        </w:rPr>
        <w:t>P</w:t>
      </w:r>
      <w:r>
        <w:rPr>
          <w:rFonts w:ascii="Times New Roman" w:cs="Times New Roman" w:eastAsia="Times New Roman" w:hAnsi="Times New Roman"/>
          <w:sz w:val="16"/>
          <w:szCs w:val="16"/>
          <w:b w:val="1"/>
          <w:bCs w:val="1"/>
          <w:u w:val="single" w:color="auto"/>
          <w:color w:val="auto"/>
        </w:rPr>
        <w:t>ERSONAL AND</w:t>
      </w:r>
      <w:r>
        <w:rPr>
          <w:rFonts w:ascii="Times New Roman" w:cs="Times New Roman" w:eastAsia="Times New Roman" w:hAnsi="Times New Roman"/>
          <w:sz w:val="21"/>
          <w:szCs w:val="21"/>
          <w:b w:val="1"/>
          <w:bCs w:val="1"/>
          <w:u w:val="single" w:color="auto"/>
          <w:color w:val="auto"/>
        </w:rPr>
        <w:t xml:space="preserve"> C</w:t>
      </w:r>
      <w:r>
        <w:rPr>
          <w:rFonts w:ascii="Times New Roman" w:cs="Times New Roman" w:eastAsia="Times New Roman" w:hAnsi="Times New Roman"/>
          <w:sz w:val="16"/>
          <w:szCs w:val="16"/>
          <w:b w:val="1"/>
          <w:bCs w:val="1"/>
          <w:u w:val="single" w:color="auto"/>
          <w:color w:val="auto"/>
        </w:rPr>
        <w:t>ONFIDENTIAL</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Mr. Andrew Gengos</w:t>
      </w:r>
    </w:p>
    <w:p>
      <w:pPr>
        <w:ind w:left="300"/>
        <w:spacing w:after="0" w:line="234" w:lineRule="auto"/>
        <w:rPr>
          <w:sz w:val="20"/>
          <w:szCs w:val="20"/>
          <w:color w:val="auto"/>
        </w:rPr>
      </w:pPr>
      <w:r>
        <w:rPr>
          <w:rFonts w:ascii="Times New Roman" w:cs="Times New Roman" w:eastAsia="Times New Roman" w:hAnsi="Times New Roman"/>
          <w:sz w:val="22"/>
          <w:szCs w:val="22"/>
          <w:color w:val="auto"/>
        </w:rPr>
        <w:t>50 West Broadway</w:t>
      </w:r>
    </w:p>
    <w:p>
      <w:pPr>
        <w:ind w:left="300"/>
        <w:spacing w:after="0" w:line="231" w:lineRule="auto"/>
        <w:rPr>
          <w:sz w:val="20"/>
          <w:szCs w:val="20"/>
          <w:color w:val="auto"/>
        </w:rPr>
      </w:pPr>
      <w:r>
        <w:rPr>
          <w:rFonts w:ascii="Times New Roman" w:cs="Times New Roman" w:eastAsia="Times New Roman" w:hAnsi="Times New Roman"/>
          <w:sz w:val="22"/>
          <w:szCs w:val="22"/>
          <w:color w:val="auto"/>
        </w:rPr>
        <w:t>Apt 318</w:t>
      </w:r>
    </w:p>
    <w:p>
      <w:pPr>
        <w:ind w:left="300"/>
        <w:spacing w:after="0"/>
        <w:rPr>
          <w:sz w:val="20"/>
          <w:szCs w:val="20"/>
          <w:color w:val="auto"/>
        </w:rPr>
      </w:pPr>
      <w:r>
        <w:rPr>
          <w:rFonts w:ascii="Times New Roman" w:cs="Times New Roman" w:eastAsia="Times New Roman" w:hAnsi="Times New Roman"/>
          <w:sz w:val="22"/>
          <w:szCs w:val="22"/>
          <w:color w:val="auto"/>
        </w:rPr>
        <w:t>South Boston, MA 02127</w:t>
      </w:r>
    </w:p>
    <w:p>
      <w:pPr>
        <w:spacing w:after="0" w:line="20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i w:val="1"/>
          <w:iCs w:val="1"/>
          <w:color w:val="auto"/>
        </w:rPr>
        <w:t>Re: Separation Agreement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Dear Andrew:</w:t>
      </w:r>
    </w:p>
    <w:p>
      <w:pPr>
        <w:spacing w:after="0" w:line="231" w:lineRule="exact"/>
        <w:rPr>
          <w:sz w:val="20"/>
          <w:szCs w:val="20"/>
          <w:color w:val="auto"/>
        </w:rPr>
      </w:pPr>
    </w:p>
    <w:p>
      <w:pPr>
        <w:jc w:val="both"/>
        <w:ind w:left="300" w:right="120" w:firstLine="805"/>
        <w:spacing w:after="0" w:line="256" w:lineRule="auto"/>
        <w:rPr>
          <w:sz w:val="20"/>
          <w:szCs w:val="20"/>
          <w:color w:val="auto"/>
        </w:rPr>
      </w:pPr>
      <w:r>
        <w:rPr>
          <w:rFonts w:ascii="Times New Roman" w:cs="Times New Roman" w:eastAsia="Times New Roman" w:hAnsi="Times New Roman"/>
          <w:sz w:val="21"/>
          <w:szCs w:val="21"/>
          <w:color w:val="auto"/>
        </w:rPr>
        <w:t>The purpose of this letter agreement (the “Agreement”) is to confirm the terms regarding your separation of employment with Synlogic, Inc. (the “Company”). As more fully set forth below, the Company desires to provide you with certain severance pay and benefits, in exchange for certain agreements by you.</w:t>
      </w:r>
    </w:p>
    <w:p>
      <w:pPr>
        <w:spacing w:after="0" w:line="200" w:lineRule="exact"/>
        <w:rPr>
          <w:sz w:val="20"/>
          <w:szCs w:val="20"/>
          <w:color w:val="auto"/>
        </w:rPr>
      </w:pPr>
    </w:p>
    <w:p>
      <w:pPr>
        <w:ind w:left="1980" w:hanging="843"/>
        <w:spacing w:after="0"/>
        <w:tabs>
          <w:tab w:leader="none" w:pos="19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Date</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300" w:right="240" w:firstLine="807"/>
        <w:spacing w:after="0" w:line="251" w:lineRule="auto"/>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i w:val="1"/>
          <w:iCs w:val="1"/>
          <w:color w:val="auto"/>
        </w:rPr>
        <w:t>Separation Date</w:t>
      </w:r>
      <w:r>
        <w:rPr>
          <w:rFonts w:ascii="Times New Roman" w:cs="Times New Roman" w:eastAsia="Times New Roman" w:hAnsi="Times New Roman"/>
          <w:sz w:val="21"/>
          <w:szCs w:val="21"/>
          <w:color w:val="auto"/>
        </w:rPr>
        <w:t>. The parties acknowledge and agree that your termination from employment with the Company will become effective on January 15, 2019 (the “Separation Date”). As of the Separation Date, your salary will cease (subject to the severance described below), and any entitlement you have or might have under a Company-provided benefit plan, program, contract or practice will terminate, except as required by federal or state law, or as otherwise described below.</w:t>
      </w:r>
    </w:p>
    <w:p>
      <w:pPr>
        <w:sectPr>
          <w:pgSz w:w="11900" w:h="16838" w:orient="portrait"/>
          <w:cols w:equalWidth="0" w:num="1">
            <w:col w:w="11360"/>
          </w:cols>
          <w:pgMar w:left="300" w:top="118" w:right="239" w:bottom="1440" w:gutter="0" w:footer="0" w:header="0"/>
        </w:sectPr>
      </w:pP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(b)</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Separation Date.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Accrued Amounts. </w:t>
      </w:r>
      <w:r>
        <w:rPr>
          <w:rFonts w:ascii="Times New Roman" w:cs="Times New Roman" w:eastAsia="Times New Roman" w:hAnsi="Times New Roman"/>
          <w:sz w:val="20"/>
          <w:szCs w:val="20"/>
          <w:color w:val="auto"/>
        </w:rPr>
        <w:t>The Company shall pay you accrued but unused vacation time through the</w:t>
      </w:r>
    </w:p>
    <w:p>
      <w:pPr>
        <w:spacing w:after="0" w:line="469" w:lineRule="exact"/>
        <w:rPr>
          <w:sz w:val="20"/>
          <w:szCs w:val="20"/>
          <w:color w:val="auto"/>
        </w:rPr>
      </w:pPr>
    </w:p>
    <w:p>
      <w:pPr>
        <w:sectPr>
          <w:pgSz w:w="11900" w:h="16838" w:orient="portrait"/>
          <w:cols w:equalWidth="0" w:num="2">
            <w:col w:w="2200" w:space="720"/>
            <w:col w:w="8440"/>
          </w:cols>
          <w:pgMar w:left="300" w:top="118" w:right="239" w:bottom="1440" w:gutter="0" w:footer="0" w:header="0"/>
          <w:type w:val="continuous"/>
        </w:sectPr>
      </w:pPr>
    </w:p>
    <w:p>
      <w:pPr>
        <w:spacing w:after="0" w:line="30" w:lineRule="exact"/>
        <w:rPr>
          <w:sz w:val="20"/>
          <w:szCs w:val="20"/>
          <w:color w:val="auto"/>
        </w:rPr>
      </w:pPr>
    </w:p>
    <w:p>
      <w:pPr>
        <w:ind w:left="1100"/>
        <w:spacing w:after="0"/>
        <w:tabs>
          <w:tab w:leader="none" w:pos="288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i w:val="1"/>
          <w:iCs w:val="1"/>
          <w:color w:val="auto"/>
        </w:rPr>
        <w:t xml:space="preserve">Benefits. </w:t>
      </w:r>
      <w:r>
        <w:rPr>
          <w:rFonts w:ascii="Times New Roman" w:cs="Times New Roman" w:eastAsia="Times New Roman" w:hAnsi="Times New Roman"/>
          <w:sz w:val="20"/>
          <w:szCs w:val="20"/>
          <w:color w:val="auto"/>
        </w:rPr>
        <w:t>Any entitlement you have or might have under a Company-provided benefit plan, program,</w:t>
      </w:r>
    </w:p>
    <w:p>
      <w:pPr>
        <w:sectPr>
          <w:pgSz w:w="11900" w:h="16838" w:orient="portrait"/>
          <w:cols w:equalWidth="0" w:num="1">
            <w:col w:w="11360"/>
          </w:cols>
          <w:pgMar w:left="300" w:top="118" w:right="239" w:bottom="1440" w:gutter="0" w:footer="0" w:header="0"/>
          <w:type w:val="continuous"/>
        </w:sectPr>
      </w:pPr>
    </w:p>
    <w:p>
      <w:pPr>
        <w:spacing w:after="0" w:line="42" w:lineRule="exact"/>
        <w:rPr>
          <w:sz w:val="20"/>
          <w:szCs w:val="20"/>
          <w:color w:val="auto"/>
        </w:rPr>
      </w:pPr>
    </w:p>
    <w:p>
      <w:pPr>
        <w:ind w:left="300" w:right="280"/>
        <w:spacing w:after="0" w:line="241" w:lineRule="auto"/>
        <w:rPr>
          <w:sz w:val="20"/>
          <w:szCs w:val="20"/>
          <w:color w:val="auto"/>
        </w:rPr>
      </w:pPr>
      <w:r>
        <w:rPr>
          <w:rFonts w:ascii="Times New Roman" w:cs="Times New Roman" w:eastAsia="Times New Roman" w:hAnsi="Times New Roman"/>
          <w:sz w:val="21"/>
          <w:szCs w:val="21"/>
          <w:color w:val="auto"/>
        </w:rPr>
        <w:t>policy or otherwise shall terminate as of the Separation Date, provided that you shall continue to receive health insurance benefits under the Company’s health insurance plan through the Separation Date, to the same extent that you received such benefits during your active employment with the Company. From and after the Separation Date, you may be eligible for benefits continuation under the Consolidated Omnibus Budget and Reconciliation Act of 1985 (“COBRA”). As described in Section 2, if you sign this Agreement, then the Company also shall pay a portion of the COBRA premium premiums for a specified period of time. The Separation Date shall be the date of the “qualifying event” under COBRA and you shall be provided with information on COBRA under separate cover.</w:t>
      </w:r>
    </w:p>
    <w:p>
      <w:pPr>
        <w:spacing w:after="0" w:line="206" w:lineRule="exact"/>
        <w:rPr>
          <w:sz w:val="20"/>
          <w:szCs w:val="20"/>
          <w:color w:val="auto"/>
        </w:rPr>
      </w:pPr>
    </w:p>
    <w:p>
      <w:pPr>
        <w:ind w:left="300" w:right="240" w:firstLine="807"/>
        <w:spacing w:after="0" w:line="251" w:lineRule="auto"/>
        <w:rPr>
          <w:sz w:val="20"/>
          <w:szCs w:val="20"/>
          <w:color w:val="auto"/>
        </w:rPr>
      </w:pPr>
      <w:r>
        <w:rPr>
          <w:rFonts w:ascii="Times New Roman" w:cs="Times New Roman" w:eastAsia="Times New Roman" w:hAnsi="Times New Roman"/>
          <w:sz w:val="21"/>
          <w:szCs w:val="21"/>
          <w:color w:val="auto"/>
        </w:rPr>
        <w:t xml:space="preserve">2. </w:t>
      </w:r>
      <w:r>
        <w:rPr>
          <w:rFonts w:ascii="Times New Roman" w:cs="Times New Roman" w:eastAsia="Times New Roman" w:hAnsi="Times New Roman"/>
          <w:sz w:val="21"/>
          <w:szCs w:val="21"/>
          <w:u w:val="single" w:color="auto"/>
          <w:color w:val="auto"/>
        </w:rPr>
        <w:t>Severance Benefit.</w:t>
      </w:r>
      <w:r>
        <w:rPr>
          <w:rFonts w:ascii="Times New Roman" w:cs="Times New Roman" w:eastAsia="Times New Roman" w:hAnsi="Times New Roman"/>
          <w:sz w:val="21"/>
          <w:szCs w:val="21"/>
          <w:color w:val="auto"/>
        </w:rPr>
        <w:t xml:space="preserve"> In exchange for the covenants and promises contained herein, including, without limitation, the execution and non-revocation of the Supplemental Release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Company agrees to provide you with the following severance payments and benefits (collectively, the “Severance Benefit”) following the date the Supplemental Release becomes effective and non-revocable (the “Effective Date”).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438785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type w:val="continuous"/>
        </w:sectPr>
      </w:pPr>
    </w:p>
    <w:bookmarkStart w:id="58" w:name="page59"/>
    <w:bookmarkEnd w:id="58"/>
    <w:p>
      <w:pPr>
        <w:jc w:val="center"/>
        <w:ind w:right="-299"/>
        <w:spacing w:after="0"/>
        <w:rPr>
          <w:sz w:val="20"/>
          <w:szCs w:val="20"/>
          <w:color w:val="auto"/>
        </w:rPr>
      </w:pPr>
      <w:r>
        <w:rPr>
          <w:rFonts w:ascii="Times New Roman" w:cs="Times New Roman" w:eastAsia="Times New Roman" w:hAnsi="Times New Roman"/>
          <w:sz w:val="22"/>
          <w:szCs w:val="22"/>
          <w:color w:val="auto"/>
        </w:rPr>
        <w:t>Synlogic, Inc.</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301 Binney Street, Suite 402</w:t>
      </w:r>
    </w:p>
    <w:p>
      <w:pPr>
        <w:jc w:val="center"/>
        <w:ind w:right="-279"/>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200" w:lineRule="exact"/>
        <w:rPr>
          <w:sz w:val="20"/>
          <w:szCs w:val="20"/>
          <w:color w:val="auto"/>
        </w:rPr>
      </w:pPr>
    </w:p>
    <w:p>
      <w:pPr>
        <w:spacing w:after="0" w:line="260" w:lineRule="exact"/>
        <w:rPr>
          <w:sz w:val="20"/>
          <w:szCs w:val="20"/>
          <w:color w:val="auto"/>
        </w:rPr>
      </w:pPr>
    </w:p>
    <w:p>
      <w:pPr>
        <w:ind w:left="1100"/>
        <w:spacing w:after="0"/>
        <w:tabs>
          <w:tab w:leader="none" w:pos="288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The Company shall pay you severance payments in the form of continuation of your current base</w:t>
      </w:r>
    </w:p>
    <w:p>
      <w:pPr>
        <w:spacing w:after="0" w:line="26" w:lineRule="exact"/>
        <w:rPr>
          <w:sz w:val="20"/>
          <w:szCs w:val="20"/>
          <w:color w:val="auto"/>
        </w:rPr>
      </w:pPr>
    </w:p>
    <w:p>
      <w:pPr>
        <w:ind w:left="300" w:right="340"/>
        <w:spacing w:after="0" w:line="246" w:lineRule="auto"/>
        <w:rPr>
          <w:sz w:val="20"/>
          <w:szCs w:val="20"/>
          <w:color w:val="auto"/>
        </w:rPr>
      </w:pPr>
      <w:r>
        <w:rPr>
          <w:rFonts w:ascii="Times New Roman" w:cs="Times New Roman" w:eastAsia="Times New Roman" w:hAnsi="Times New Roman"/>
          <w:sz w:val="21"/>
          <w:szCs w:val="21"/>
          <w:color w:val="auto"/>
        </w:rPr>
        <w:t>salary payable in accordance with the Company’s regular payroll cycle and less all required withholdings, for a period of six (6) months ($200,990.04), commencing on the first regularly scheduled payroll following the Effective Date.</w:t>
      </w:r>
    </w:p>
    <w:p>
      <w:pPr>
        <w:spacing w:after="0" w:line="210" w:lineRule="exact"/>
        <w:rPr>
          <w:sz w:val="20"/>
          <w:szCs w:val="20"/>
          <w:color w:val="auto"/>
        </w:rPr>
      </w:pPr>
    </w:p>
    <w:p>
      <w:pPr>
        <w:ind w:left="300" w:firstLine="806"/>
        <w:spacing w:after="0" w:line="244" w:lineRule="auto"/>
        <w:rPr>
          <w:sz w:val="20"/>
          <w:szCs w:val="20"/>
          <w:color w:val="auto"/>
        </w:rPr>
      </w:pPr>
      <w:r>
        <w:rPr>
          <w:rFonts w:ascii="Times New Roman" w:cs="Times New Roman" w:eastAsia="Times New Roman" w:hAnsi="Times New Roman"/>
          <w:sz w:val="21"/>
          <w:szCs w:val="21"/>
          <w:color w:val="auto"/>
        </w:rPr>
        <w:t>(b) In the event that you choose to exercise your right under COBRA to continue your participation in the Company’s health and dental insurance plans (which you may do, to the extent permitted by COBRA, regardless of whether you accept this Agreement), the Company shall pay its normal share of the costs for your COBRA coverage, to the same extent that such insurance is provided to persons then currently employed by the Company, for a period of six (6) months following the Effective Date or until the date on which you become eligible for healthcare insurance with a subsequent employer, whichever is earlier. Thereafter, you shall be responsible for payment of the entire COBRA premium, pursuant to the terms and conditions of COBRA. Notwithstanding any other provision of this Agreement, this obligation shall cease on the date you become eligible to receive health and dental insurance benefits through any other employer, and you agree to provide the Company with written notice immediately upon becoming eligible for such benefits. Your acceptance of any payment on your behalf or coverage provided hereunder shall be an express representation to the Company that you have no such eligibility.</w:t>
      </w:r>
    </w:p>
    <w:p>
      <w:pPr>
        <w:spacing w:after="0" w:line="219" w:lineRule="exact"/>
        <w:rPr>
          <w:sz w:val="20"/>
          <w:szCs w:val="20"/>
          <w:color w:val="auto"/>
        </w:rPr>
      </w:pPr>
    </w:p>
    <w:p>
      <w:pPr>
        <w:ind w:left="1100"/>
        <w:spacing w:after="0"/>
        <w:tabs>
          <w:tab w:leader="none" w:pos="288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The Company shall pay you a lump-sum payment equal to 86.4% of your target bonus for 2018</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($121,558.78) and a lump-sum payment equal to 100% of your target bonus for 2019, pro-rated for 15 days ($5,781.91), in the first</w:t>
      </w:r>
    </w:p>
    <w:p>
      <w:pPr>
        <w:spacing w:after="0" w:line="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regularly scheduled payroll following the Effective Date.</w:t>
      </w:r>
    </w:p>
    <w:p>
      <w:pPr>
        <w:spacing w:after="0" w:line="221" w:lineRule="exact"/>
        <w:rPr>
          <w:sz w:val="20"/>
          <w:szCs w:val="20"/>
          <w:color w:val="auto"/>
        </w:rPr>
      </w:pPr>
    </w:p>
    <w:p>
      <w:pPr>
        <w:ind w:left="300" w:right="40" w:firstLine="806"/>
        <w:spacing w:after="0" w:line="246" w:lineRule="auto"/>
        <w:rPr>
          <w:sz w:val="20"/>
          <w:szCs w:val="20"/>
          <w:color w:val="auto"/>
        </w:rPr>
      </w:pPr>
      <w:r>
        <w:rPr>
          <w:rFonts w:ascii="Times New Roman" w:cs="Times New Roman" w:eastAsia="Times New Roman" w:hAnsi="Times New Roman"/>
          <w:sz w:val="21"/>
          <w:szCs w:val="21"/>
          <w:color w:val="auto"/>
        </w:rPr>
        <w:t>(d) To the extent applicable, the terms and conditions of the Company’s 2015 Equity Incentive Award Plan (the “Stock Plan”) and any agreements executed by you pursuant thereto (the “Stock Agreements”) are expressly incorporated by reference and shall survive the signing of this Agreement. As of the Separation Date, you may be vested in options to purchase a specific total of options, pursuant to the terms of the Stock Plan and Stock Agreements. Following the Separation Date, you shall not have any right to vest in any additional stock or stock options under the Stock Plan, Stock Agreements or any other Company equity, stock or stock option plan (of whatever name or kind) that you may have participated in or were eligible to participate in during your employment.</w:t>
      </w:r>
    </w:p>
    <w:p>
      <w:pPr>
        <w:spacing w:after="0" w:line="199" w:lineRule="exact"/>
        <w:rPr>
          <w:sz w:val="20"/>
          <w:szCs w:val="20"/>
          <w:color w:val="auto"/>
        </w:rPr>
      </w:pPr>
    </w:p>
    <w:p>
      <w:pPr>
        <w:ind w:left="300" w:right="80" w:firstLine="806"/>
        <w:spacing w:after="0" w:line="256" w:lineRule="auto"/>
        <w:rPr>
          <w:sz w:val="20"/>
          <w:szCs w:val="20"/>
          <w:color w:val="auto"/>
        </w:rPr>
      </w:pPr>
      <w:r>
        <w:rPr>
          <w:rFonts w:ascii="Times New Roman" w:cs="Times New Roman" w:eastAsia="Times New Roman" w:hAnsi="Times New Roman"/>
          <w:sz w:val="21"/>
          <w:szCs w:val="21"/>
          <w:color w:val="auto"/>
        </w:rPr>
        <w:t>(e) The Company shall not contest any claim for unemployment benefits by you. Please note, however, that the determination of eligibility and amount of such benefits shall be made by the appropriate state agency pursuant to applicable state law (the Company shall not be required to falsify any information with respect to same).</w:t>
      </w:r>
    </w:p>
    <w:p>
      <w:pPr>
        <w:spacing w:after="0" w:line="200" w:lineRule="exact"/>
        <w:rPr>
          <w:sz w:val="20"/>
          <w:szCs w:val="20"/>
          <w:color w:val="auto"/>
        </w:rPr>
      </w:pPr>
    </w:p>
    <w:p>
      <w:pPr>
        <w:jc w:val="both"/>
        <w:ind w:left="300" w:firstLine="806"/>
        <w:spacing w:after="0" w:line="248" w:lineRule="auto"/>
        <w:rPr>
          <w:sz w:val="20"/>
          <w:szCs w:val="20"/>
          <w:color w:val="auto"/>
        </w:rPr>
      </w:pPr>
      <w:r>
        <w:rPr>
          <w:rFonts w:ascii="Times New Roman" w:cs="Times New Roman" w:eastAsia="Times New Roman" w:hAnsi="Times New Roman"/>
          <w:sz w:val="21"/>
          <w:szCs w:val="21"/>
          <w:color w:val="auto"/>
        </w:rPr>
        <w:t>You acknowledge and agree that the Severance Benefit is not otherwise due or owing to you under any Company employment agreement, policy, or practice. The Company shall pay you the Severance Benefit, your final wages, any accrued but unused vacation, and any properly incurred expenses, in accordance with the Company’s regular payroll practices and applicable law. Other than these amounts, you are not entitled to any other compensation from the Company including, without limitation, other wages, commissions, bonuses, vacation pay, holiday pay, paid time off or any other form of compensation or benefit.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438785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396" w:right="359" w:bottom="1440" w:gutter="0" w:footer="0" w:header="0"/>
        </w:sectPr>
      </w:pPr>
    </w:p>
    <w:bookmarkStart w:id="59" w:name="page60"/>
    <w:bookmarkEnd w:id="59"/>
    <w:tbl>
      <w:tblPr>
        <w:tblLayout w:type="fixed"/>
        <w:tblInd w:w="110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380" w:type="dxa"/>
            <w:vAlign w:val="bottom"/>
          </w:tcPr>
          <w:p>
            <w:pPr>
              <w:jc w:val="center"/>
              <w:ind w:right="4292"/>
              <w:spacing w:after="0"/>
              <w:rPr>
                <w:sz w:val="20"/>
                <w:szCs w:val="20"/>
                <w:color w:val="auto"/>
              </w:rPr>
            </w:pPr>
            <w:r>
              <w:rPr>
                <w:rFonts w:ascii="Times New Roman" w:cs="Times New Roman" w:eastAsia="Times New Roman" w:hAnsi="Times New Roman"/>
                <w:sz w:val="22"/>
                <w:szCs w:val="22"/>
                <w:color w:val="auto"/>
                <w:w w:val="99"/>
              </w:rPr>
              <w:t>Synlogic, Inc.</w:t>
            </w:r>
          </w:p>
        </w:tc>
      </w:tr>
      <w:tr>
        <w:trPr>
          <w:trHeight w:val="243"/>
        </w:trPr>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40" w:type="dxa"/>
            <w:vAlign w:val="bottom"/>
            <w:gridSpan w:val="2"/>
          </w:tcPr>
          <w:p>
            <w:pPr>
              <w:jc w:val="center"/>
              <w:ind w:right="2332"/>
              <w:spacing w:after="0" w:line="243" w:lineRule="exact"/>
              <w:rPr>
                <w:sz w:val="20"/>
                <w:szCs w:val="20"/>
                <w:color w:val="auto"/>
              </w:rPr>
            </w:pPr>
            <w:r>
              <w:rPr>
                <w:rFonts w:ascii="Times New Roman" w:cs="Times New Roman" w:eastAsia="Times New Roman" w:hAnsi="Times New Roman"/>
                <w:sz w:val="22"/>
                <w:szCs w:val="22"/>
                <w:color w:val="auto"/>
                <w:w w:val="98"/>
              </w:rPr>
              <w:t>301 Binney Street, Suite 402</w:t>
            </w:r>
          </w:p>
        </w:tc>
      </w:tr>
      <w:tr>
        <w:trPr>
          <w:trHeight w:val="283"/>
        </w:trPr>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340" w:type="dxa"/>
            <w:vAlign w:val="bottom"/>
            <w:gridSpan w:val="2"/>
          </w:tcPr>
          <w:p>
            <w:pPr>
              <w:jc w:val="center"/>
              <w:ind w:right="2332"/>
              <w:spacing w:after="0"/>
              <w:rPr>
                <w:sz w:val="20"/>
                <w:szCs w:val="20"/>
                <w:color w:val="auto"/>
              </w:rPr>
            </w:pPr>
            <w:r>
              <w:rPr>
                <w:rFonts w:ascii="Times New Roman" w:cs="Times New Roman" w:eastAsia="Times New Roman" w:hAnsi="Times New Roman"/>
                <w:sz w:val="22"/>
                <w:szCs w:val="22"/>
                <w:color w:val="auto"/>
                <w:w w:val="98"/>
              </w:rPr>
              <w:t>Cambridge, MA 02142</w:t>
            </w:r>
          </w:p>
        </w:tc>
      </w:tr>
      <w:tr>
        <w:trPr>
          <w:trHeight w:val="677"/>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3.</w:t>
            </w:r>
          </w:p>
        </w:tc>
        <w:tc>
          <w:tcPr>
            <w:tcW w:w="740" w:type="dxa"/>
            <w:vAlign w:val="bottom"/>
          </w:tcPr>
          <w:p>
            <w:pPr>
              <w:spacing w:after="0"/>
              <w:rPr>
                <w:sz w:val="24"/>
                <w:szCs w:val="24"/>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Continuing Obligations. You hereby expressly agree to and acknowledge the following:</w:t>
            </w:r>
          </w:p>
        </w:tc>
      </w:tr>
      <w:tr>
        <w:trPr>
          <w:trHeight w:val="20"/>
        </w:trPr>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498"/>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(a)</w:t>
            </w:r>
          </w:p>
        </w:tc>
        <w:tc>
          <w:tcPr>
            <w:tcW w:w="740" w:type="dxa"/>
            <w:vAlign w:val="bottom"/>
          </w:tcPr>
          <w:p>
            <w:pPr>
              <w:spacing w:after="0"/>
              <w:rPr>
                <w:sz w:val="24"/>
                <w:szCs w:val="24"/>
                <w:color w:val="auto"/>
              </w:rPr>
            </w:pPr>
          </w:p>
        </w:tc>
        <w:tc>
          <w:tcPr>
            <w:tcW w:w="834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w w:val="97"/>
              </w:rPr>
              <w:t xml:space="preserve">You shall abide by and honor the terms of the </w:t>
            </w:r>
            <w:r>
              <w:rPr>
                <w:rFonts w:ascii="Times New Roman" w:cs="Times New Roman" w:eastAsia="Times New Roman" w:hAnsi="Times New Roman"/>
                <w:sz w:val="21"/>
                <w:szCs w:val="21"/>
                <w:i w:val="1"/>
                <w:iCs w:val="1"/>
                <w:color w:val="auto"/>
                <w:w w:val="97"/>
              </w:rPr>
              <w:t>Invention and Nondisclosure Agreement</w:t>
            </w:r>
            <w:r>
              <w:rPr>
                <w:rFonts w:ascii="Times New Roman" w:cs="Times New Roman" w:eastAsia="Times New Roman" w:hAnsi="Times New Roman"/>
                <w:sz w:val="21"/>
                <w:szCs w:val="21"/>
                <w:color w:val="auto"/>
                <w:w w:val="97"/>
              </w:rPr>
              <w:t xml:space="preserve"> and the </w:t>
            </w:r>
            <w:r>
              <w:rPr>
                <w:rFonts w:ascii="Times New Roman" w:cs="Times New Roman" w:eastAsia="Times New Roman" w:hAnsi="Times New Roman"/>
                <w:sz w:val="21"/>
                <w:szCs w:val="21"/>
                <w:i w:val="1"/>
                <w:iCs w:val="1"/>
                <w:color w:val="auto"/>
                <w:w w:val="97"/>
              </w:rPr>
              <w:t>Non-</w:t>
            </w:r>
          </w:p>
        </w:tc>
      </w:tr>
    </w:tbl>
    <w:p>
      <w:pPr>
        <w:ind w:left="300" w:right="120"/>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Competition and Non-Solicitation Agreement </w:t>
      </w:r>
      <w:r>
        <w:rPr>
          <w:rFonts w:ascii="Times New Roman" w:cs="Times New Roman" w:eastAsia="Times New Roman" w:hAnsi="Times New Roman"/>
          <w:sz w:val="21"/>
          <w:szCs w:val="21"/>
          <w:color w:val="auto"/>
        </w:rPr>
        <w:t>that you previously executed and which is attached hereto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“Related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Agreements,” the terms of which are hereby incorporated by reference and shall survive the signing of this Agreement), and you otherwise shall abide by any and all common law or statutory obligations relating to protection and non-disclosure of Company’s trade secrets and confidential and proprietary documents and information.</w:t>
      </w:r>
    </w:p>
    <w:p>
      <w:pPr>
        <w:spacing w:after="0" w:line="186" w:lineRule="exact"/>
        <w:rPr>
          <w:sz w:val="20"/>
          <w:szCs w:val="20"/>
          <w:color w:val="auto"/>
        </w:rPr>
      </w:pPr>
    </w:p>
    <w:p>
      <w:pPr>
        <w:ind w:left="300" w:right="60" w:firstLine="807"/>
        <w:spacing w:after="0" w:line="246" w:lineRule="auto"/>
        <w:rPr>
          <w:sz w:val="20"/>
          <w:szCs w:val="20"/>
          <w:color w:val="auto"/>
        </w:rPr>
      </w:pPr>
      <w:r>
        <w:rPr>
          <w:rFonts w:ascii="Times New Roman" w:cs="Times New Roman" w:eastAsia="Times New Roman" w:hAnsi="Times New Roman"/>
          <w:sz w:val="21"/>
          <w:szCs w:val="21"/>
          <w:color w:val="auto"/>
        </w:rPr>
        <w:t xml:space="preserve">(b) All information relating in any way to the subject matter of this Agreement, including the terms and amounts, shall be held confidential by you and shall not be publicized or disclosed to any person (other than an immediate family member, legal counsel or financial advisor,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individual to whom disclosure is made agrees to be bound by these confidentiality obligations), any business entity, or any government agency (except as mandated or permitted by state or federal law). This section shall not prohibit or limit you or the Company from participating in an investigation with a state or federal agency if requested by the agency to do so, or prohibit you or the Company from disclosing the terms of this Agreement as necessary and appropriate pursuant to legal requirements and standard recordkeeping and accounting practices.</w:t>
      </w:r>
    </w:p>
    <w:p>
      <w:pPr>
        <w:spacing w:after="0" w:line="185" w:lineRule="exact"/>
        <w:rPr>
          <w:sz w:val="20"/>
          <w:szCs w:val="20"/>
          <w:color w:val="auto"/>
        </w:rPr>
      </w:pPr>
    </w:p>
    <w:p>
      <w:pPr>
        <w:ind w:left="300" w:firstLine="807"/>
        <w:spacing w:after="0" w:line="248" w:lineRule="auto"/>
        <w:rPr>
          <w:sz w:val="20"/>
          <w:szCs w:val="20"/>
          <w:color w:val="auto"/>
        </w:rPr>
      </w:pPr>
      <w:r>
        <w:rPr>
          <w:rFonts w:ascii="Times New Roman" w:cs="Times New Roman" w:eastAsia="Times New Roman" w:hAnsi="Times New Roman"/>
          <w:sz w:val="21"/>
          <w:szCs w:val="21"/>
          <w:color w:val="auto"/>
        </w:rPr>
        <w:t>(c) You shall not make any statements that are professionally or personally disparaging about or adverse to the interests of Company (including its officers, directors and employees) including, but not limited to, any statements that disparage any person, product, service, finances, financial condition, capability or any other aspect of the business of Company, and you shall not engage in any conduct that is intended to harm professionally or personally the reputation of Company (including its officers, directors and employees).</w:t>
      </w:r>
    </w:p>
    <w:p>
      <w:pPr>
        <w:spacing w:after="0" w:line="184" w:lineRule="exact"/>
        <w:rPr>
          <w:sz w:val="20"/>
          <w:szCs w:val="20"/>
          <w:color w:val="auto"/>
        </w:rPr>
      </w:pPr>
    </w:p>
    <w:p>
      <w:pPr>
        <w:ind w:left="300" w:right="100" w:firstLine="806"/>
        <w:spacing w:after="0" w:line="251" w:lineRule="auto"/>
        <w:rPr>
          <w:sz w:val="20"/>
          <w:szCs w:val="20"/>
          <w:color w:val="auto"/>
        </w:rPr>
      </w:pPr>
      <w:r>
        <w:rPr>
          <w:rFonts w:ascii="Times New Roman" w:cs="Times New Roman" w:eastAsia="Times New Roman" w:hAnsi="Times New Roman"/>
          <w:sz w:val="21"/>
          <w:szCs w:val="21"/>
          <w:color w:val="auto"/>
        </w:rPr>
        <w:t>(d) On or prior to the Separation Date, you must return all Company property in your possession, custody or control, including, but not limited to, building and office access cards, corporate credit cards, Company-provided laptop computer and accessories, mobile phone, any software, hardware, equipment, documents, electronic data or files, or any copies thereof, and any documents (and copies thereof) that are the property of Company clients or partners.</w:t>
      </w:r>
    </w:p>
    <w:p>
      <w:pPr>
        <w:spacing w:after="0" w:line="178" w:lineRule="exact"/>
        <w:rPr>
          <w:sz w:val="20"/>
          <w:szCs w:val="20"/>
          <w:color w:val="auto"/>
        </w:rPr>
      </w:pPr>
    </w:p>
    <w:p>
      <w:pPr>
        <w:ind w:left="300" w:right="140" w:firstLine="806"/>
        <w:spacing w:after="0" w:line="251" w:lineRule="auto"/>
        <w:rPr>
          <w:sz w:val="20"/>
          <w:szCs w:val="20"/>
          <w:color w:val="auto"/>
        </w:rPr>
      </w:pPr>
      <w:r>
        <w:rPr>
          <w:rFonts w:ascii="Times New Roman" w:cs="Times New Roman" w:eastAsia="Times New Roman" w:hAnsi="Times New Roman"/>
          <w:sz w:val="21"/>
          <w:szCs w:val="21"/>
          <w:color w:val="auto"/>
        </w:rPr>
        <w:t>(e) The breach by you of any of the foregoing covenants or those contained in the Related Agreements shall constitute a material breach of this Agreement and shall relieve the Company of any further obligations hereunder and, in addition to any other legal or equitable remedy available to Company, shall entitle Company to recover any Severance Benefit already provided to you pursuant to this Agreement.</w:t>
      </w:r>
    </w:p>
    <w:p>
      <w:pPr>
        <w:spacing w:after="0" w:line="178" w:lineRule="exact"/>
        <w:rPr>
          <w:sz w:val="20"/>
          <w:szCs w:val="20"/>
          <w:color w:val="auto"/>
        </w:rPr>
      </w:pPr>
    </w:p>
    <w:p>
      <w:pPr>
        <w:ind w:left="1980" w:hanging="843"/>
        <w:spacing w:after="0"/>
        <w:tabs>
          <w:tab w:leader="none" w:pos="19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w:t>
      </w:r>
    </w:p>
    <w:p>
      <w:pPr>
        <w:spacing w:after="0" w:line="216" w:lineRule="exact"/>
        <w:rPr>
          <w:sz w:val="20"/>
          <w:szCs w:val="20"/>
          <w:color w:val="auto"/>
        </w:rPr>
      </w:pPr>
    </w:p>
    <w:p>
      <w:pPr>
        <w:ind w:left="300" w:right="60" w:firstLine="805"/>
        <w:spacing w:after="0" w:line="251" w:lineRule="auto"/>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i w:val="1"/>
          <w:iCs w:val="1"/>
          <w:color w:val="auto"/>
        </w:rPr>
        <w:t>Release</w:t>
      </w:r>
      <w:r>
        <w:rPr>
          <w:rFonts w:ascii="Times New Roman" w:cs="Times New Roman" w:eastAsia="Times New Roman" w:hAnsi="Times New Roman"/>
          <w:sz w:val="21"/>
          <w:szCs w:val="21"/>
          <w:color w:val="auto"/>
        </w:rPr>
        <w:t>. You hereby agree and acknowledge that by signing this Agreement and accepting the Severance Benefit to be provided to you, and other good and valuable consideration provided for in this Agreement, you are waiving your right to assert any form of legal claim against Company (for purposes of this section, the term “Company” shall refer to the Company, its divisions, parent, affiliates, subsidiaries and related entities, and its and their respective owners, shareholders,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438785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386" w:right="359" w:bottom="1440" w:gutter="0" w:footer="0" w:header="0"/>
        </w:sectPr>
      </w:pPr>
    </w:p>
    <w:bookmarkStart w:id="60" w:name="page61"/>
    <w:bookmarkEnd w:id="60"/>
    <w:p>
      <w:pPr>
        <w:jc w:val="center"/>
        <w:ind w:right="-299"/>
        <w:spacing w:after="0"/>
        <w:rPr>
          <w:sz w:val="20"/>
          <w:szCs w:val="20"/>
          <w:color w:val="auto"/>
        </w:rPr>
      </w:pPr>
      <w:r>
        <w:rPr>
          <w:rFonts w:ascii="Times New Roman" w:cs="Times New Roman" w:eastAsia="Times New Roman" w:hAnsi="Times New Roman"/>
          <w:sz w:val="22"/>
          <w:szCs w:val="22"/>
          <w:color w:val="auto"/>
        </w:rPr>
        <w:t>Synlogic, Inc.</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301 Binney Street, Suite 402</w:t>
      </w:r>
    </w:p>
    <w:p>
      <w:pPr>
        <w:jc w:val="center"/>
        <w:ind w:right="-299"/>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200" w:lineRule="exact"/>
        <w:rPr>
          <w:sz w:val="20"/>
          <w:szCs w:val="20"/>
          <w:color w:val="auto"/>
        </w:rPr>
      </w:pPr>
    </w:p>
    <w:p>
      <w:pPr>
        <w:spacing w:after="0" w:line="260" w:lineRule="exact"/>
        <w:rPr>
          <w:sz w:val="20"/>
          <w:szCs w:val="20"/>
          <w:color w:val="auto"/>
        </w:rPr>
      </w:pPr>
    </w:p>
    <w:p>
      <w:pPr>
        <w:jc w:val="both"/>
        <w:ind w:left="300"/>
        <w:spacing w:after="0" w:line="245" w:lineRule="auto"/>
        <w:rPr>
          <w:sz w:val="20"/>
          <w:szCs w:val="20"/>
          <w:color w:val="auto"/>
        </w:rPr>
      </w:pPr>
      <w:r>
        <w:rPr>
          <w:rFonts w:ascii="Times New Roman" w:cs="Times New Roman" w:eastAsia="Times New Roman" w:hAnsi="Times New Roman"/>
          <w:sz w:val="21"/>
          <w:szCs w:val="21"/>
          <w:color w:val="auto"/>
        </w:rPr>
        <w:t>partners, officers, directors, employees, agents, representatives, successors and assigns) of any kind whatsoever from the beginning of time through the date you execute this Agreement. Your waiver and release herein is intended to bar any form of legal claim, charge, complaint or any other form of action (jointly referred to as “Claims”) against the Company seeking any form of relief including, without limitation, equitable relief (whether declaratory, injunctive or otherwise), the recovery of any damages or any other form of monetary recovery whatsoever (including, without limitation, back pay, front pay, compensatory damages, emotional distress damages, punitive damages, attorneys’ fees and any other costs) against the Company, up through the date you sign this Agreement. Without limiting the foregoing general waiver and release of claims, you specifically waive and release the Company from any Claim arising from or related to your employment relationship with the Company or the termination thereof, including, without limitation:</w:t>
      </w:r>
    </w:p>
    <w:p>
      <w:pPr>
        <w:spacing w:after="0" w:line="199" w:lineRule="exact"/>
        <w:rPr>
          <w:sz w:val="20"/>
          <w:szCs w:val="20"/>
          <w:color w:val="auto"/>
        </w:rPr>
      </w:pPr>
    </w:p>
    <w:p>
      <w:pPr>
        <w:ind w:left="1140" w:right="20" w:firstLine="744"/>
        <w:spacing w:after="0" w:line="244" w:lineRule="auto"/>
        <w:rPr>
          <w:sz w:val="20"/>
          <w:szCs w:val="20"/>
          <w:color w:val="auto"/>
        </w:rPr>
      </w:pPr>
      <w:r>
        <w:rPr>
          <w:rFonts w:ascii="Times New Roman" w:cs="Times New Roman" w:eastAsia="Times New Roman" w:hAnsi="Times New Roman"/>
          <w:sz w:val="21"/>
          <w:szCs w:val="21"/>
          <w:color w:val="auto"/>
        </w:rPr>
        <w:t>(i) Claims under any Massachusetts or any other state or federal statute, regulation or executive order (as amended) relating to employment, discrimination, fair employment practices, or other terms and conditions of employment, including but not limited to the Age Discrimination in Employment Act and Older Workers Benefit Protection Act (</w:t>
      </w:r>
      <w:r>
        <w:rPr>
          <w:rFonts w:ascii="Times New Roman" w:cs="Times New Roman" w:eastAsia="Times New Roman" w:hAnsi="Times New Roman"/>
          <w:sz w:val="21"/>
          <w:szCs w:val="21"/>
          <w:i w:val="1"/>
          <w:iCs w:val="1"/>
          <w:color w:val="auto"/>
        </w:rPr>
        <w:t>29 U.S.C. § 621 et seq.</w:t>
      </w:r>
      <w:r>
        <w:rPr>
          <w:rFonts w:ascii="Times New Roman" w:cs="Times New Roman" w:eastAsia="Times New Roman" w:hAnsi="Times New Roman"/>
          <w:sz w:val="21"/>
          <w:szCs w:val="21"/>
          <w:color w:val="auto"/>
        </w:rPr>
        <w:t>), the Civil Rights Acts of 1866 and 1871, Title VII of the Civil Rights Act of 1964 and the Civil Rights Act of 1991 (</w:t>
      </w:r>
      <w:r>
        <w:rPr>
          <w:rFonts w:ascii="Times New Roman" w:cs="Times New Roman" w:eastAsia="Times New Roman" w:hAnsi="Times New Roman"/>
          <w:sz w:val="21"/>
          <w:szCs w:val="21"/>
          <w:i w:val="1"/>
          <w:iCs w:val="1"/>
          <w:color w:val="auto"/>
        </w:rPr>
        <w:t>42 U.S.C. § 2000e et seq.</w:t>
      </w:r>
      <w:r>
        <w:rPr>
          <w:rFonts w:ascii="Times New Roman" w:cs="Times New Roman" w:eastAsia="Times New Roman" w:hAnsi="Times New Roman"/>
          <w:sz w:val="21"/>
          <w:szCs w:val="21"/>
          <w:color w:val="auto"/>
        </w:rPr>
        <w:t>), the Equal Pay Act (</w:t>
      </w:r>
      <w:r>
        <w:rPr>
          <w:rFonts w:ascii="Times New Roman" w:cs="Times New Roman" w:eastAsia="Times New Roman" w:hAnsi="Times New Roman"/>
          <w:sz w:val="21"/>
          <w:szCs w:val="21"/>
          <w:i w:val="1"/>
          <w:iCs w:val="1"/>
          <w:color w:val="auto"/>
        </w:rPr>
        <w:t>29 U.S.C. § 201 et seq.</w:t>
      </w:r>
      <w:r>
        <w:rPr>
          <w:rFonts w:ascii="Times New Roman" w:cs="Times New Roman" w:eastAsia="Times New Roman" w:hAnsi="Times New Roman"/>
          <w:sz w:val="21"/>
          <w:szCs w:val="21"/>
          <w:color w:val="auto"/>
        </w:rPr>
        <w:t>), the Lily Ledbetter Fair Pay Act, the Americans With Disabilities Act (</w:t>
      </w:r>
      <w:r>
        <w:rPr>
          <w:rFonts w:ascii="Times New Roman" w:cs="Times New Roman" w:eastAsia="Times New Roman" w:hAnsi="Times New Roman"/>
          <w:sz w:val="21"/>
          <w:szCs w:val="21"/>
          <w:i w:val="1"/>
          <w:iCs w:val="1"/>
          <w:color w:val="auto"/>
        </w:rPr>
        <w:t>42 U.S.C. § 12101 et seq.</w:t>
      </w:r>
      <w:r>
        <w:rPr>
          <w:rFonts w:ascii="Times New Roman" w:cs="Times New Roman" w:eastAsia="Times New Roman" w:hAnsi="Times New Roman"/>
          <w:sz w:val="21"/>
          <w:szCs w:val="21"/>
          <w:color w:val="auto"/>
        </w:rPr>
        <w:t>), the Genetic Information Non-Discrimination Act (</w:t>
      </w:r>
      <w:r>
        <w:rPr>
          <w:rFonts w:ascii="Times New Roman" w:cs="Times New Roman" w:eastAsia="Times New Roman" w:hAnsi="Times New Roman"/>
          <w:sz w:val="21"/>
          <w:szCs w:val="21"/>
          <w:i w:val="1"/>
          <w:iCs w:val="1"/>
          <w:color w:val="auto"/>
        </w:rPr>
        <w:t>42 U.S.C. §2000ff et seq.</w:t>
      </w:r>
      <w:r>
        <w:rPr>
          <w:rFonts w:ascii="Times New Roman" w:cs="Times New Roman" w:eastAsia="Times New Roman" w:hAnsi="Times New Roman"/>
          <w:sz w:val="21"/>
          <w:szCs w:val="21"/>
          <w:color w:val="auto"/>
        </w:rPr>
        <w:t>), the Uniformed Services Employment and Reemployment Rights Act of 1994 (</w:t>
      </w:r>
      <w:r>
        <w:rPr>
          <w:rFonts w:ascii="Times New Roman" w:cs="Times New Roman" w:eastAsia="Times New Roman" w:hAnsi="Times New Roman"/>
          <w:sz w:val="21"/>
          <w:szCs w:val="21"/>
          <w:i w:val="1"/>
          <w:iCs w:val="1"/>
          <w:color w:val="auto"/>
        </w:rPr>
        <w:t>38 U.S.C. § 4301 et seq.</w:t>
      </w:r>
      <w:r>
        <w:rPr>
          <w:rFonts w:ascii="Times New Roman" w:cs="Times New Roman" w:eastAsia="Times New Roman" w:hAnsi="Times New Roman"/>
          <w:sz w:val="21"/>
          <w:szCs w:val="21"/>
          <w:color w:val="auto"/>
        </w:rPr>
        <w:t>), the Massachusetts Fair Employment Practices Statute (</w:t>
      </w:r>
      <w:r>
        <w:rPr>
          <w:rFonts w:ascii="Times New Roman" w:cs="Times New Roman" w:eastAsia="Times New Roman" w:hAnsi="Times New Roman"/>
          <w:sz w:val="21"/>
          <w:szCs w:val="21"/>
          <w:i w:val="1"/>
          <w:iCs w:val="1"/>
          <w:color w:val="auto"/>
        </w:rPr>
        <w:t>M.G.L. c. 151B § 1 et seq.</w:t>
      </w:r>
      <w:r>
        <w:rPr>
          <w:rFonts w:ascii="Times New Roman" w:cs="Times New Roman" w:eastAsia="Times New Roman" w:hAnsi="Times New Roman"/>
          <w:sz w:val="21"/>
          <w:szCs w:val="21"/>
          <w:color w:val="auto"/>
        </w:rPr>
        <w:t>), the Massachusetts Equal Rights Act (</w:t>
      </w:r>
      <w:r>
        <w:rPr>
          <w:rFonts w:ascii="Times New Roman" w:cs="Times New Roman" w:eastAsia="Times New Roman" w:hAnsi="Times New Roman"/>
          <w:sz w:val="21"/>
          <w:szCs w:val="21"/>
          <w:i w:val="1"/>
          <w:iCs w:val="1"/>
          <w:color w:val="auto"/>
        </w:rPr>
        <w:t>M.G.L. c. 93 §102</w:t>
      </w:r>
      <w:r>
        <w:rPr>
          <w:rFonts w:ascii="Times New Roman" w:cs="Times New Roman" w:eastAsia="Times New Roman" w:hAnsi="Times New Roman"/>
          <w:sz w:val="21"/>
          <w:szCs w:val="21"/>
          <w:color w:val="auto"/>
        </w:rPr>
        <w:t>), the Massachusetts Civil Rights Act (</w:t>
      </w:r>
      <w:r>
        <w:rPr>
          <w:rFonts w:ascii="Times New Roman" w:cs="Times New Roman" w:eastAsia="Times New Roman" w:hAnsi="Times New Roman"/>
          <w:sz w:val="21"/>
          <w:szCs w:val="21"/>
          <w:i w:val="1"/>
          <w:iCs w:val="1"/>
          <w:color w:val="auto"/>
        </w:rPr>
        <w:t>M.G.L. c. 12 §§ 11H &amp; 11I</w:t>
      </w:r>
      <w:r>
        <w:rPr>
          <w:rFonts w:ascii="Times New Roman" w:cs="Times New Roman" w:eastAsia="Times New Roman" w:hAnsi="Times New Roman"/>
          <w:sz w:val="21"/>
          <w:szCs w:val="21"/>
          <w:color w:val="auto"/>
        </w:rPr>
        <w:t>), and any similar Massachusetts or other state or federal statute.</w:t>
      </w:r>
    </w:p>
    <w:p>
      <w:pPr>
        <w:spacing w:after="0" w:line="217" w:lineRule="exact"/>
        <w:rPr>
          <w:sz w:val="20"/>
          <w:szCs w:val="20"/>
          <w:color w:val="auto"/>
        </w:rPr>
      </w:pPr>
    </w:p>
    <w:p>
      <w:pPr>
        <w:ind w:left="1140" w:right="100" w:firstLine="744"/>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(ii) </w:t>
      </w:r>
      <w:r>
        <w:rPr>
          <w:rFonts w:ascii="Times New Roman" w:cs="Times New Roman" w:eastAsia="Times New Roman" w:hAnsi="Times New Roman"/>
          <w:sz w:val="21"/>
          <w:szCs w:val="21"/>
          <w:color w:val="auto"/>
        </w:rPr>
        <w:t>Claims under any Massachusetts or any other state or federal statute, regulation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 order (as amended) relating to wages, hours or other terms and conditions of employment, including but not limited to the National Labor Relations Act (</w:t>
      </w:r>
      <w:r>
        <w:rPr>
          <w:rFonts w:ascii="Times New Roman" w:cs="Times New Roman" w:eastAsia="Times New Roman" w:hAnsi="Times New Roman"/>
          <w:sz w:val="21"/>
          <w:szCs w:val="21"/>
          <w:i w:val="1"/>
          <w:iCs w:val="1"/>
          <w:color w:val="auto"/>
        </w:rPr>
        <w:t>29</w:t>
      </w:r>
    </w:p>
    <w:p>
      <w:pPr>
        <w:spacing w:after="0" w:line="1" w:lineRule="exact"/>
        <w:rPr>
          <w:sz w:val="20"/>
          <w:szCs w:val="20"/>
          <w:color w:val="auto"/>
        </w:rPr>
      </w:pPr>
    </w:p>
    <w:p>
      <w:pPr>
        <w:jc w:val="both"/>
        <w:ind w:left="1140"/>
        <w:spacing w:after="0" w:line="241" w:lineRule="auto"/>
        <w:rPr>
          <w:sz w:val="20"/>
          <w:szCs w:val="20"/>
          <w:color w:val="auto"/>
        </w:rPr>
      </w:pPr>
      <w:r>
        <w:rPr>
          <w:rFonts w:ascii="Times New Roman" w:cs="Times New Roman" w:eastAsia="Times New Roman" w:hAnsi="Times New Roman"/>
          <w:sz w:val="21"/>
          <w:szCs w:val="21"/>
          <w:i w:val="1"/>
          <w:iCs w:val="1"/>
          <w:color w:val="auto"/>
        </w:rPr>
        <w:t>U.S.C. § 151 et seq.</w:t>
      </w:r>
      <w:r>
        <w:rPr>
          <w:rFonts w:ascii="Times New Roman" w:cs="Times New Roman" w:eastAsia="Times New Roman" w:hAnsi="Times New Roman"/>
          <w:sz w:val="21"/>
          <w:szCs w:val="21"/>
          <w:color w:val="auto"/>
        </w:rPr>
        <w:t>), the Family and Medical Leave Act (</w:t>
      </w:r>
      <w:r>
        <w:rPr>
          <w:rFonts w:ascii="Times New Roman" w:cs="Times New Roman" w:eastAsia="Times New Roman" w:hAnsi="Times New Roman"/>
          <w:sz w:val="21"/>
          <w:szCs w:val="21"/>
          <w:i w:val="1"/>
          <w:iCs w:val="1"/>
          <w:color w:val="auto"/>
        </w:rPr>
        <w:t>29 U.S.C. §2601 et seq.</w:t>
      </w:r>
      <w:r>
        <w:rPr>
          <w:rFonts w:ascii="Times New Roman" w:cs="Times New Roman" w:eastAsia="Times New Roman" w:hAnsi="Times New Roman"/>
          <w:sz w:val="21"/>
          <w:szCs w:val="21"/>
          <w:color w:val="auto"/>
        </w:rPr>
        <w:t>), the Employee Retirement Income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Security Act of 1974 (</w:t>
      </w:r>
      <w:r>
        <w:rPr>
          <w:rFonts w:ascii="Times New Roman" w:cs="Times New Roman" w:eastAsia="Times New Roman" w:hAnsi="Times New Roman"/>
          <w:sz w:val="21"/>
          <w:szCs w:val="21"/>
          <w:i w:val="1"/>
          <w:iCs w:val="1"/>
          <w:color w:val="auto"/>
        </w:rPr>
        <w:t>29 U.S.C. § 1000 et seq.</w:t>
      </w:r>
      <w:r>
        <w:rPr>
          <w:rFonts w:ascii="Times New Roman" w:cs="Times New Roman" w:eastAsia="Times New Roman" w:hAnsi="Times New Roman"/>
          <w:sz w:val="21"/>
          <w:szCs w:val="21"/>
          <w:color w:val="auto"/>
        </w:rPr>
        <w:t>), COBRA (</w:t>
      </w:r>
      <w:r>
        <w:rPr>
          <w:rFonts w:ascii="Times New Roman" w:cs="Times New Roman" w:eastAsia="Times New Roman" w:hAnsi="Times New Roman"/>
          <w:sz w:val="21"/>
          <w:szCs w:val="21"/>
          <w:i w:val="1"/>
          <w:iCs w:val="1"/>
          <w:color w:val="auto"/>
        </w:rPr>
        <w:t>29</w:t>
      </w:r>
    </w:p>
    <w:p>
      <w:pPr>
        <w:spacing w:after="0" w:line="1" w:lineRule="exact"/>
        <w:rPr>
          <w:sz w:val="20"/>
          <w:szCs w:val="20"/>
          <w:color w:val="auto"/>
        </w:rPr>
      </w:pPr>
    </w:p>
    <w:p>
      <w:pPr>
        <w:jc w:val="both"/>
        <w:ind w:left="1140"/>
        <w:spacing w:after="0" w:line="242" w:lineRule="auto"/>
        <w:rPr>
          <w:sz w:val="20"/>
          <w:szCs w:val="20"/>
          <w:color w:val="auto"/>
        </w:rPr>
      </w:pPr>
      <w:r>
        <w:rPr>
          <w:rFonts w:ascii="Times New Roman" w:cs="Times New Roman" w:eastAsia="Times New Roman" w:hAnsi="Times New Roman"/>
          <w:sz w:val="21"/>
          <w:szCs w:val="21"/>
          <w:i w:val="1"/>
          <w:iCs w:val="1"/>
          <w:color w:val="auto"/>
        </w:rPr>
        <w:t>U.S.C. § 1161 et seq.</w:t>
      </w:r>
      <w:r>
        <w:rPr>
          <w:rFonts w:ascii="Times New Roman" w:cs="Times New Roman" w:eastAsia="Times New Roman" w:hAnsi="Times New Roman"/>
          <w:sz w:val="21"/>
          <w:szCs w:val="21"/>
          <w:color w:val="auto"/>
        </w:rPr>
        <w:t>), the Worker Adjustment and Retraining Notification Act (</w:t>
      </w:r>
      <w:r>
        <w:rPr>
          <w:rFonts w:ascii="Times New Roman" w:cs="Times New Roman" w:eastAsia="Times New Roman" w:hAnsi="Times New Roman"/>
          <w:sz w:val="21"/>
          <w:szCs w:val="21"/>
          <w:i w:val="1"/>
          <w:iCs w:val="1"/>
          <w:color w:val="auto"/>
        </w:rPr>
        <w:t>29 U.S.C. § 2101 et seq.</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Massachusetts Wage Act (</w:t>
      </w:r>
      <w:r>
        <w:rPr>
          <w:rFonts w:ascii="Times New Roman" w:cs="Times New Roman" w:eastAsia="Times New Roman" w:hAnsi="Times New Roman"/>
          <w:sz w:val="21"/>
          <w:szCs w:val="21"/>
          <w:i w:val="1"/>
          <w:iCs w:val="1"/>
          <w:color w:val="auto"/>
        </w:rPr>
        <w:t>M.G.L. c. 149 § 148 et. seq.)</w:t>
      </w:r>
      <w:r>
        <w:rPr>
          <w:rFonts w:ascii="Times New Roman" w:cs="Times New Roman" w:eastAsia="Times New Roman" w:hAnsi="Times New Roman"/>
          <w:sz w:val="21"/>
          <w:szCs w:val="21"/>
          <w:color w:val="auto"/>
        </w:rPr>
        <w:t>, the Massachusetts Minimum Fair Wages Act (</w:t>
      </w:r>
      <w:r>
        <w:rPr>
          <w:rFonts w:ascii="Times New Roman" w:cs="Times New Roman" w:eastAsia="Times New Roman" w:hAnsi="Times New Roman"/>
          <w:sz w:val="21"/>
          <w:szCs w:val="21"/>
          <w:i w:val="1"/>
          <w:iCs w:val="1"/>
          <w:color w:val="auto"/>
        </w:rPr>
        <w:t>M.G.L. c. 151 §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the Massachusetts Equal Pay Act (</w:t>
      </w:r>
      <w:r>
        <w:rPr>
          <w:rFonts w:ascii="Times New Roman" w:cs="Times New Roman" w:eastAsia="Times New Roman" w:hAnsi="Times New Roman"/>
          <w:sz w:val="21"/>
          <w:szCs w:val="21"/>
          <w:i w:val="1"/>
          <w:iCs w:val="1"/>
          <w:color w:val="auto"/>
        </w:rPr>
        <w:t>M.G.L. c. 149 § 105A</w:t>
      </w:r>
      <w:r>
        <w:rPr>
          <w:rFonts w:ascii="Times New Roman" w:cs="Times New Roman" w:eastAsia="Times New Roman" w:hAnsi="Times New Roman"/>
          <w:sz w:val="21"/>
          <w:szCs w:val="21"/>
          <w:color w:val="auto"/>
        </w:rPr>
        <w:t>), and any similar Massachusetts or other state or federal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statute. </w:t>
      </w:r>
      <w:r>
        <w:rPr>
          <w:rFonts w:ascii="Times New Roman" w:cs="Times New Roman" w:eastAsia="Times New Roman" w:hAnsi="Times New Roman"/>
          <w:sz w:val="21"/>
          <w:szCs w:val="21"/>
          <w:i w:val="1"/>
          <w:iCs w:val="1"/>
          <w:color w:val="auto"/>
        </w:rPr>
        <w:t>Please note that this section specifically includes a waiver and release of Claims that you have or may have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regarding payments or amounts covered by the Massachusetts Wage Act or the Massachusetts Minimum Fair Wages Act (including hourly wages, salary, overtime, minimum wages, commissions, vacation pay, holiday pay, sick leave pay, dismissal pay, bonus pay or severance pay).</w:t>
      </w:r>
    </w:p>
    <w:p>
      <w:pPr>
        <w:spacing w:after="0" w:line="203" w:lineRule="exact"/>
        <w:rPr>
          <w:sz w:val="20"/>
          <w:szCs w:val="20"/>
          <w:color w:val="auto"/>
        </w:rPr>
      </w:pPr>
    </w:p>
    <w:p>
      <w:pPr>
        <w:ind w:left="1140" w:right="40" w:firstLine="744"/>
        <w:spacing w:after="0" w:line="249" w:lineRule="auto"/>
        <w:rPr>
          <w:sz w:val="20"/>
          <w:szCs w:val="20"/>
          <w:color w:val="auto"/>
        </w:rPr>
      </w:pPr>
      <w:r>
        <w:rPr>
          <w:rFonts w:ascii="Times New Roman" w:cs="Times New Roman" w:eastAsia="Times New Roman" w:hAnsi="Times New Roman"/>
          <w:sz w:val="21"/>
          <w:szCs w:val="21"/>
          <w:color w:val="auto"/>
        </w:rPr>
        <w:t>(iii) Claims under any Massachusetts or any other state or federal common law theory, including, without limitation, wrongful discharge, breach of express or implied contract, promissory estoppel, unjust enrichment, breach of a covenant of good faith and fair dealing, breach of fiduciary duty, violation of public policy, defamation, interference with contractual relations, intentional or negligent infliction of emotional distress, invasion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438785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396" w:right="359" w:bottom="1440" w:gutter="0" w:footer="0" w:header="0"/>
        </w:sectPr>
      </w:pPr>
    </w:p>
    <w:bookmarkStart w:id="61" w:name="page62"/>
    <w:bookmarkEnd w:id="61"/>
    <w:p>
      <w:pPr>
        <w:jc w:val="center"/>
        <w:ind w:right="-299"/>
        <w:spacing w:after="0"/>
        <w:rPr>
          <w:sz w:val="20"/>
          <w:szCs w:val="20"/>
          <w:color w:val="auto"/>
        </w:rPr>
      </w:pPr>
      <w:r>
        <w:rPr>
          <w:rFonts w:ascii="Times New Roman" w:cs="Times New Roman" w:eastAsia="Times New Roman" w:hAnsi="Times New Roman"/>
          <w:sz w:val="22"/>
          <w:szCs w:val="22"/>
          <w:color w:val="auto"/>
        </w:rPr>
        <w:t>Synlogic, Inc.</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301 Binney Street, Suite 402</w:t>
      </w:r>
    </w:p>
    <w:p>
      <w:pPr>
        <w:jc w:val="center"/>
        <w:ind w:right="-299"/>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200" w:lineRule="exact"/>
        <w:rPr>
          <w:sz w:val="20"/>
          <w:szCs w:val="20"/>
          <w:color w:val="auto"/>
        </w:rPr>
      </w:pPr>
    </w:p>
    <w:p>
      <w:pPr>
        <w:spacing w:after="0" w:line="260" w:lineRule="exact"/>
        <w:rPr>
          <w:sz w:val="20"/>
          <w:szCs w:val="20"/>
          <w:color w:val="auto"/>
        </w:rPr>
      </w:pPr>
    </w:p>
    <w:p>
      <w:pPr>
        <w:ind w:left="1140" w:right="580"/>
        <w:spacing w:after="0" w:line="270" w:lineRule="auto"/>
        <w:rPr>
          <w:sz w:val="20"/>
          <w:szCs w:val="20"/>
          <w:color w:val="auto"/>
        </w:rPr>
      </w:pPr>
      <w:r>
        <w:rPr>
          <w:rFonts w:ascii="Times New Roman" w:cs="Times New Roman" w:eastAsia="Times New Roman" w:hAnsi="Times New Roman"/>
          <w:sz w:val="21"/>
          <w:szCs w:val="21"/>
          <w:color w:val="auto"/>
        </w:rPr>
        <w:t>privacy, misrepresentation, deceit, fraud, negligence, or any claim to attorneys’ fees under any applicable statute or common law theory of recovery.</w:t>
      </w:r>
    </w:p>
    <w:p>
      <w:pPr>
        <w:spacing w:after="0" w:line="186" w:lineRule="exact"/>
        <w:rPr>
          <w:sz w:val="20"/>
          <w:szCs w:val="20"/>
          <w:color w:val="auto"/>
        </w:rPr>
      </w:pPr>
    </w:p>
    <w:p>
      <w:pPr>
        <w:ind w:left="1140" w:right="40" w:firstLine="745"/>
        <w:spacing w:after="0" w:line="256" w:lineRule="auto"/>
        <w:rPr>
          <w:sz w:val="20"/>
          <w:szCs w:val="20"/>
          <w:color w:val="auto"/>
        </w:rPr>
      </w:pPr>
      <w:r>
        <w:rPr>
          <w:rFonts w:ascii="Times New Roman" w:cs="Times New Roman" w:eastAsia="Times New Roman" w:hAnsi="Times New Roman"/>
          <w:sz w:val="21"/>
          <w:szCs w:val="21"/>
          <w:color w:val="auto"/>
        </w:rPr>
        <w:t>(iv) Claims under any Massachusetts or any other state or federal statute, regulation or executive order (as amended) relating to violation of public policy or any other form of retaliation or wrongful termination under Massachusetts or other state or federal statute.</w:t>
      </w:r>
    </w:p>
    <w:p>
      <w:pPr>
        <w:spacing w:after="0" w:line="200" w:lineRule="exact"/>
        <w:rPr>
          <w:sz w:val="20"/>
          <w:szCs w:val="20"/>
          <w:color w:val="auto"/>
        </w:rPr>
      </w:pPr>
    </w:p>
    <w:p>
      <w:pPr>
        <w:ind w:left="2820" w:hanging="846"/>
        <w:spacing w:after="0"/>
        <w:tabs>
          <w:tab w:leader="none" w:pos="28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Claim arising under other state or federal law.</w:t>
      </w:r>
    </w:p>
    <w:p>
      <w:pPr>
        <w:spacing w:after="0" w:line="243" w:lineRule="exact"/>
        <w:rPr>
          <w:sz w:val="20"/>
          <w:szCs w:val="20"/>
          <w:color w:val="auto"/>
        </w:rPr>
      </w:pPr>
    </w:p>
    <w:p>
      <w:pPr>
        <w:ind w:left="1100"/>
        <w:spacing w:after="0"/>
        <w:tabs>
          <w:tab w:leader="none" w:pos="290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i w:val="1"/>
          <w:iCs w:val="1"/>
          <w:color w:val="auto"/>
        </w:rPr>
        <w:t>Release Limitations; Participation in Agency Proceedings</w:t>
      </w:r>
      <w:r>
        <w:rPr>
          <w:rFonts w:ascii="Times New Roman" w:cs="Times New Roman" w:eastAsia="Times New Roman" w:hAnsi="Times New Roman"/>
          <w:sz w:val="21"/>
          <w:szCs w:val="21"/>
          <w:color w:val="auto"/>
        </w:rPr>
        <w:t>. Notwithstanding the foregoing, this</w:t>
      </w:r>
    </w:p>
    <w:p>
      <w:pPr>
        <w:spacing w:after="0" w:line="28" w:lineRule="exact"/>
        <w:rPr>
          <w:sz w:val="20"/>
          <w:szCs w:val="20"/>
          <w:color w:val="auto"/>
        </w:rPr>
      </w:pPr>
    </w:p>
    <w:p>
      <w:pPr>
        <w:ind w:left="300" w:right="60"/>
        <w:spacing w:after="0" w:line="242" w:lineRule="auto"/>
        <w:rPr>
          <w:sz w:val="20"/>
          <w:szCs w:val="20"/>
          <w:color w:val="auto"/>
        </w:rPr>
      </w:pPr>
      <w:r>
        <w:rPr>
          <w:rFonts w:ascii="Times New Roman" w:cs="Times New Roman" w:eastAsia="Times New Roman" w:hAnsi="Times New Roman"/>
          <w:sz w:val="21"/>
          <w:szCs w:val="21"/>
          <w:color w:val="auto"/>
        </w:rPr>
        <w:t>section shall not: (i) release the Company from any obligation expressly set forth in this Agreement; (ii) release or waive any right that may not be released or waived by law (for instance, workers’ compensation); or (iii) prohibit you from challenging the validity of this release; or (iv) prohibit you from filing a charge or complaint with the Equal Employment Opportunity Commission (“EEOC”) or analogous state agency, or from participating in an investigation or proceeding conducted by the EEOC or analogous state agency, or from responding to a request for information or documents (or providing information or documents) to the EEOC or analogous state agency. Notwithstanding the foregoing, please note that nothing in this release or Agreement shall be deemed to limit the Company’s right to seek immediate dismissal of a charge or complaint on the basis that your signing of this Agreement constitutes a full release of any individual rights under the applicable discrimination laws, or to seek restitution to the extent permitted by law of the economic benefits provided to you under this Agreement in the event that you successfully challenge the validity of this release and prevail in any claim under the applicable law.</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252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(c)</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1"/>
                <w:szCs w:val="21"/>
                <w:i w:val="1"/>
                <w:iCs w:val="1"/>
                <w:color w:val="auto"/>
                <w:w w:val="98"/>
              </w:rPr>
              <w:t xml:space="preserve">Acknowledgement. </w:t>
            </w:r>
            <w:r>
              <w:rPr>
                <w:rFonts w:ascii="Times New Roman" w:cs="Times New Roman" w:eastAsia="Times New Roman" w:hAnsi="Times New Roman"/>
                <w:sz w:val="21"/>
                <w:szCs w:val="21"/>
                <w:color w:val="auto"/>
                <w:w w:val="98"/>
              </w:rPr>
              <w:t>You acknowledge and agree that, but for providing this waiver and release, you</w:t>
            </w:r>
          </w:p>
        </w:tc>
      </w:tr>
      <w:tr>
        <w:trPr>
          <w:trHeight w:val="270"/>
        </w:trPr>
        <w:tc>
          <w:tcPr>
            <w:tcW w:w="107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would not be receiving the Severance Benefit under this Agreement.</w:t>
            </w:r>
          </w:p>
        </w:tc>
      </w:tr>
      <w:tr>
        <w:trPr>
          <w:trHeight w:val="424"/>
        </w:trPr>
        <w:tc>
          <w:tcPr>
            <w:tcW w:w="252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5.</w:t>
            </w:r>
          </w:p>
        </w:tc>
        <w:tc>
          <w:tcPr>
            <w:tcW w:w="82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Review and Revocation Period. You explicitly acknowledge that because you are over forty (40)</w:t>
            </w:r>
          </w:p>
        </w:tc>
      </w:tr>
      <w:tr>
        <w:trPr>
          <w:trHeight w:val="20"/>
        </w:trPr>
        <w:tc>
          <w:tcPr>
            <w:tcW w:w="25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bl>
    <w:p>
      <w:pPr>
        <w:spacing w:after="0" w:line="8" w:lineRule="exact"/>
        <w:rPr>
          <w:sz w:val="20"/>
          <w:szCs w:val="20"/>
          <w:color w:val="auto"/>
        </w:rPr>
      </w:pPr>
    </w:p>
    <w:p>
      <w:pPr>
        <w:ind w:left="300" w:right="40"/>
        <w:spacing w:after="0" w:line="247" w:lineRule="auto"/>
        <w:rPr>
          <w:sz w:val="20"/>
          <w:szCs w:val="20"/>
          <w:color w:val="auto"/>
        </w:rPr>
      </w:pPr>
      <w:r>
        <w:rPr>
          <w:rFonts w:ascii="Times New Roman" w:cs="Times New Roman" w:eastAsia="Times New Roman" w:hAnsi="Times New Roman"/>
          <w:sz w:val="21"/>
          <w:szCs w:val="21"/>
          <w:color w:val="auto"/>
        </w:rPr>
        <w:t>years of age, you have specific rights under the Age Discrimination in Employment Act (“ADEA”) and the Older Workers Benefits Protection Act (“OWBPA”), which prohibit discrimination on the basis of age, and that the releases set forth in Section 4 are intended to release any right that you may have to file a claim against the Company alleging discrimination on the basis of age. Consistent with the provisions of OWBPA, the Company is providing you with twenty-one</w:t>
      </w:r>
    </w:p>
    <w:p>
      <w:pPr>
        <w:spacing w:after="0" w:line="2" w:lineRule="exact"/>
        <w:rPr>
          <w:sz w:val="20"/>
          <w:szCs w:val="20"/>
          <w:color w:val="auto"/>
        </w:rPr>
      </w:pPr>
    </w:p>
    <w:p>
      <w:pPr>
        <w:jc w:val="both"/>
        <w:ind w:left="300" w:hanging="3"/>
        <w:spacing w:after="0" w:line="242" w:lineRule="auto"/>
        <w:tabs>
          <w:tab w:leader="none" w:pos="7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in which to consider and accept the terms of this Agreement by signing below and returning it to the Company at the address above. Of course, you may choose to sign and return this Agreement sooner than such date if you wish. In addition, you may rescind your assent to this Agreement if, within seven (7) days after you sign this Agreement, you deliver a notice of rescission to the Company at the address above. To be effective, such rescission must be hand delivered or postmarked within the seven (7) day period and sent by certified mail, return receipt requested, to the Company at the address above.</w:t>
      </w:r>
    </w:p>
    <w:p>
      <w:pPr>
        <w:spacing w:after="0" w:line="190" w:lineRule="exact"/>
        <w:rPr>
          <w:sz w:val="20"/>
          <w:szCs w:val="20"/>
          <w:color w:val="auto"/>
        </w:rPr>
      </w:pPr>
    </w:p>
    <w:p>
      <w:pPr>
        <w:ind w:left="1980" w:hanging="843"/>
        <w:spacing w:after="0"/>
        <w:tabs>
          <w:tab w:leader="none" w:pos="19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300" w:right="220" w:firstLine="805"/>
        <w:spacing w:after="0" w:line="272" w:lineRule="auto"/>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This Agreement shall be interpreted and administered in a manner so that any amount or benefit payable hereunder shall be paid or provided in a manner that is either exempt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438785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396" w:right="359" w:bottom="1440" w:gutter="0" w:footer="0" w:header="0"/>
        </w:sectPr>
      </w:pPr>
    </w:p>
    <w:bookmarkStart w:id="62" w:name="page63"/>
    <w:bookmarkEnd w:id="62"/>
    <w:p>
      <w:pPr>
        <w:jc w:val="center"/>
        <w:ind w:right="-299"/>
        <w:spacing w:after="0"/>
        <w:rPr>
          <w:sz w:val="20"/>
          <w:szCs w:val="20"/>
          <w:color w:val="auto"/>
        </w:rPr>
      </w:pPr>
      <w:r>
        <w:rPr>
          <w:rFonts w:ascii="Times New Roman" w:cs="Times New Roman" w:eastAsia="Times New Roman" w:hAnsi="Times New Roman"/>
          <w:sz w:val="22"/>
          <w:szCs w:val="22"/>
          <w:color w:val="auto"/>
        </w:rPr>
        <w:t>Synlogic, Inc.</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301 Binney Street, Suite 402</w:t>
      </w:r>
    </w:p>
    <w:p>
      <w:pPr>
        <w:jc w:val="center"/>
        <w:ind w:right="-299"/>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190"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21"/>
          <w:szCs w:val="21"/>
          <w:color w:val="auto"/>
        </w:rPr>
        <w:t>from or compliant with the requirements Section 409A of the Code and applicable Internal Revenue Service guidance and Treasury Regulations issued thereunder (and any applicable transition relief under Section 409A of the Code). Nevertheless, the tax treatment of the benefits provided under the Agreement is not warranted or guaranteed. Neither the Company nor its directors, officers, employees or advisers shall be held liable for any taxes, interest, penalties or other monetary amounts owed by you as a result of the application of Section 409A of the Code.</w:t>
      </w:r>
    </w:p>
    <w:p>
      <w:pPr>
        <w:spacing w:after="0" w:line="74" w:lineRule="exact"/>
        <w:rPr>
          <w:sz w:val="20"/>
          <w:szCs w:val="20"/>
          <w:color w:val="auto"/>
        </w:rPr>
      </w:pPr>
    </w:p>
    <w:p>
      <w:pPr>
        <w:ind w:left="300" w:right="20" w:firstLine="807"/>
        <w:spacing w:after="0" w:line="243"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i w:val="1"/>
          <w:iCs w:val="1"/>
          <w:color w:val="auto"/>
        </w:rPr>
        <w:t>Six-Month Delay in Certain Circumstances</w:t>
      </w:r>
      <w:r>
        <w:rPr>
          <w:rFonts w:ascii="Times New Roman" w:cs="Times New Roman" w:eastAsia="Times New Roman" w:hAnsi="Times New Roman"/>
          <w:sz w:val="21"/>
          <w:szCs w:val="21"/>
          <w:color w:val="auto"/>
        </w:rPr>
        <w:t>. Notwithstanding anything in this Agreement to the contrary, if any amount or benefit that would constitute non-exempt “deferred compensation” for purposes of Section 409A of the Code would otherwise be payable or distributable under this Agreement by reason of your separation from service during a period in which you are a Specified Employee (as defined below), then, subject to any permissible acceleration of payment by Company under Treas. Reg. Section 1.409A-3(j)(4)(ii) (domestic relations order), (j)(4)(iii) (conflicts of interest), or (j)(4)(vi) (payment of employment taxes): (i) the amount of such non-exempt deferred compensation that would otherwise be payable during the six-month period immediately following your separation from service will be accumulated through and paid or provided on the first day of the seventh month following your separation from service (or, if you die during such period, within 30 days after your death) (in either case, the “Required Delay Period”); and (ii) the normal payment or distribution schedule for any remaining payments or distributions will resume at the end of the Required Delay Period. For purposes of this Agreement, the term “Specified Employee” has the meaning given such term in Code Section 409A and the final regulations thereunder: provided, however, that Company’s Specified Employees and its application of the six- month delay rule of Code Section 409A(a)(2)(B)(i) shall be determined in accordance with rules adopted by the Board or a committee thereof, which shall be applied consistently with respect to all nonqualified deferred compensation arrangements of the Company, including this Agreement.</w:t>
      </w:r>
    </w:p>
    <w:p>
      <w:pPr>
        <w:spacing w:after="0" w:line="90" w:lineRule="exact"/>
        <w:rPr>
          <w:sz w:val="20"/>
          <w:szCs w:val="20"/>
          <w:color w:val="auto"/>
        </w:rPr>
      </w:pPr>
    </w:p>
    <w:p>
      <w:pPr>
        <w:ind w:left="300" w:right="60" w:firstLine="807"/>
        <w:spacing w:after="0" w:line="248" w:lineRule="auto"/>
        <w:rPr>
          <w:sz w:val="20"/>
          <w:szCs w:val="20"/>
          <w:color w:val="auto"/>
        </w:rPr>
      </w:pPr>
      <w:r>
        <w:rPr>
          <w:rFonts w:ascii="Times New Roman" w:cs="Times New Roman" w:eastAsia="Times New Roman" w:hAnsi="Times New Roman"/>
          <w:sz w:val="21"/>
          <w:szCs w:val="21"/>
          <w:color w:val="auto"/>
        </w:rPr>
        <w:t xml:space="preserve">7. </w:t>
      </w:r>
      <w:r>
        <w:rPr>
          <w:rFonts w:ascii="Times New Roman" w:cs="Times New Roman" w:eastAsia="Times New Roman" w:hAnsi="Times New Roman"/>
          <w:sz w:val="21"/>
          <w:szCs w:val="21"/>
          <w:u w:val="single" w:color="auto"/>
          <w:color w:val="auto"/>
        </w:rPr>
        <w:t>Company Instruction on Non-Disparagement</w:t>
      </w:r>
      <w:r>
        <w:rPr>
          <w:rFonts w:ascii="Times New Roman" w:cs="Times New Roman" w:eastAsia="Times New Roman" w:hAnsi="Times New Roman"/>
          <w:sz w:val="21"/>
          <w:szCs w:val="21"/>
          <w:color w:val="auto"/>
        </w:rPr>
        <w:t>. The Company agrees to instruct its executive officers and board of directors to not make any statements that are professionally or personally disparaging about, or adverse to you. You understand and agree that the Company’s sole obligation hereunder is to provide such instructions, and should an instructed individual violate such instruction, the Company shall not be liable, nor shall such violation relieve or release you from any of your obligations under this Agreement.</w:t>
      </w:r>
    </w:p>
    <w:p>
      <w:pPr>
        <w:spacing w:after="0" w:line="62" w:lineRule="exact"/>
        <w:rPr>
          <w:sz w:val="20"/>
          <w:szCs w:val="20"/>
          <w:color w:val="auto"/>
        </w:rPr>
      </w:pPr>
    </w:p>
    <w:p>
      <w:pPr>
        <w:ind w:left="1100"/>
        <w:spacing w:after="0"/>
        <w:tabs>
          <w:tab w:leader="none" w:pos="2800" w:val="left"/>
        </w:tabs>
        <w:rPr>
          <w:sz w:val="20"/>
          <w:szCs w:val="20"/>
          <w:color w:val="auto"/>
        </w:rPr>
      </w:pPr>
      <w:r>
        <w:rPr>
          <w:rFonts w:ascii="Times New Roman" w:cs="Times New Roman" w:eastAsia="Times New Roman" w:hAnsi="Times New Roman"/>
          <w:sz w:val="21"/>
          <w:szCs w:val="21"/>
          <w:color w:val="auto"/>
        </w:rPr>
        <w:t>8.</w:t>
      </w:r>
      <w:r>
        <w:rPr>
          <w:sz w:val="20"/>
          <w:szCs w:val="20"/>
          <w:color w:val="auto"/>
        </w:rPr>
        <w:tab/>
      </w:r>
      <w:r>
        <w:rPr>
          <w:rFonts w:ascii="Times New Roman" w:cs="Times New Roman" w:eastAsia="Times New Roman" w:hAnsi="Times New Roman"/>
          <w:sz w:val="21"/>
          <w:szCs w:val="21"/>
          <w:u w:val="single" w:color="auto"/>
          <w:color w:val="auto"/>
        </w:rPr>
        <w:t>Entire Agreement; Modification; Waiver; Choice of Law; Enforceability.</w:t>
      </w:r>
      <w:r>
        <w:rPr>
          <w:rFonts w:ascii="Times New Roman" w:cs="Times New Roman" w:eastAsia="Times New Roman" w:hAnsi="Times New Roman"/>
          <w:sz w:val="21"/>
          <w:szCs w:val="21"/>
          <w:color w:val="auto"/>
        </w:rPr>
        <w:t xml:space="preserve"> You acknowledge and</w:t>
      </w:r>
    </w:p>
    <w:p>
      <w:pPr>
        <w:spacing w:after="0" w:line="26" w:lineRule="exact"/>
        <w:rPr>
          <w:sz w:val="20"/>
          <w:szCs w:val="20"/>
          <w:color w:val="auto"/>
        </w:rPr>
      </w:pPr>
    </w:p>
    <w:p>
      <w:pPr>
        <w:ind w:left="300" w:right="20"/>
        <w:spacing w:after="0" w:line="242" w:lineRule="auto"/>
        <w:rPr>
          <w:sz w:val="20"/>
          <w:szCs w:val="20"/>
          <w:color w:val="auto"/>
        </w:rPr>
      </w:pPr>
      <w:r>
        <w:rPr>
          <w:rFonts w:ascii="Times New Roman" w:cs="Times New Roman" w:eastAsia="Times New Roman" w:hAnsi="Times New Roman"/>
          <w:sz w:val="21"/>
          <w:szCs w:val="21"/>
          <w:color w:val="auto"/>
        </w:rPr>
        <w:t>agree that, except for the agreements and plans specifically referenced herein (including the Stock Plan, Stock Agreements, and the Related Agreements), this Agreement supersedes any and all prior or contemporaneous oral and/or written agreements between you and the Company, and sets forth the entire agreement between you and the Company. No variations or modifications hereof shall be deemed valid unless reduced to writing and signed by the parties hereto. The failure of the Company to seek enforcement of any provision of this Agreement in any instance or for any period of time shall not be construed as a waiver of such provision or of the Company’s right to seek enforcement of such provision in the future. The provisions of this Agreement are severable, and if for any reason any part hereof shall be found to be unenforceable, the remaining provisions shall be enforced in full. This Agreement shall be deemed to have been made in Massachusetts, shall take effect as an instrument under seal within Massachusetts, and shall be governed by and construed in accordance with the laws of Massachusetts, without giving effect to conflict of law principles. The parties acknowledge and agree that any legal action relating to the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438785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396" w:right="359" w:bottom="1440" w:gutter="0" w:footer="0" w:header="0"/>
        </w:sectPr>
      </w:pPr>
    </w:p>
    <w:bookmarkStart w:id="63" w:name="page64"/>
    <w:bookmarkEnd w:id="63"/>
    <w:p>
      <w:pPr>
        <w:jc w:val="center"/>
        <w:ind w:right="-299"/>
        <w:spacing w:after="0"/>
        <w:rPr>
          <w:sz w:val="20"/>
          <w:szCs w:val="20"/>
          <w:color w:val="auto"/>
        </w:rPr>
      </w:pPr>
      <w:r>
        <w:rPr>
          <w:rFonts w:ascii="Times New Roman" w:cs="Times New Roman" w:eastAsia="Times New Roman" w:hAnsi="Times New Roman"/>
          <w:sz w:val="22"/>
          <w:szCs w:val="22"/>
          <w:color w:val="auto"/>
        </w:rPr>
        <w:t>Synlogic, Inc.</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301 Binney Street, Suite 402</w:t>
      </w:r>
    </w:p>
    <w:p>
      <w:pPr>
        <w:jc w:val="center"/>
        <w:ind w:right="-299"/>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200" w:lineRule="exact"/>
        <w:rPr>
          <w:sz w:val="20"/>
          <w:szCs w:val="20"/>
          <w:color w:val="auto"/>
        </w:rPr>
      </w:pPr>
    </w:p>
    <w:p>
      <w:pPr>
        <w:spacing w:after="0" w:line="260" w:lineRule="exact"/>
        <w:rPr>
          <w:sz w:val="20"/>
          <w:szCs w:val="20"/>
          <w:color w:val="auto"/>
        </w:rPr>
      </w:pPr>
    </w:p>
    <w:p>
      <w:pPr>
        <w:ind w:left="300" w:right="100"/>
        <w:spacing w:after="0" w:line="270" w:lineRule="auto"/>
        <w:rPr>
          <w:sz w:val="20"/>
          <w:szCs w:val="20"/>
          <w:color w:val="auto"/>
        </w:rPr>
      </w:pPr>
      <w:r>
        <w:rPr>
          <w:rFonts w:ascii="Times New Roman" w:cs="Times New Roman" w:eastAsia="Times New Roman" w:hAnsi="Times New Roman"/>
          <w:sz w:val="21"/>
          <w:szCs w:val="21"/>
          <w:color w:val="auto"/>
        </w:rPr>
        <w:t>terms of this Agreement shall be commenced in Massachusetts in a court of competent jurisdiction, and that venue for such actions shall lie exclusively in Massachusetts.</w:t>
      </w:r>
    </w:p>
    <w:p>
      <w:pPr>
        <w:spacing w:after="0" w:line="186" w:lineRule="exact"/>
        <w:rPr>
          <w:sz w:val="20"/>
          <w:szCs w:val="20"/>
          <w:color w:val="auto"/>
        </w:rPr>
      </w:pPr>
    </w:p>
    <w:p>
      <w:pPr>
        <w:jc w:val="both"/>
        <w:ind w:left="300" w:firstLine="806"/>
        <w:spacing w:after="0" w:line="267" w:lineRule="auto"/>
        <w:rPr>
          <w:sz w:val="20"/>
          <w:szCs w:val="20"/>
          <w:color w:val="auto"/>
        </w:rPr>
      </w:pPr>
      <w:r>
        <w:rPr>
          <w:rFonts w:ascii="Times New Roman" w:cs="Times New Roman" w:eastAsia="Times New Roman" w:hAnsi="Times New Roman"/>
          <w:sz w:val="20"/>
          <w:szCs w:val="20"/>
          <w:color w:val="auto"/>
        </w:rPr>
        <w:t>By executing this Agreement, you acknowledge that you have been afforded sufficient time to understand the terms and effects of this Agreement, that your agreements hereunder are made voluntarily, knowingly and without duress, and that Company has not made any representations inconsistent with Agreement. This Agreement may be signed on one or more copies, each of which when signed shall be deemed to be an original, and all of which together shall constitute one and the same Agreement.</w:t>
      </w:r>
    </w:p>
    <w:p>
      <w:pPr>
        <w:spacing w:after="0" w:line="1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438785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396" w:right="359" w:bottom="1440" w:gutter="0" w:footer="0" w:header="0"/>
        </w:sectPr>
      </w:pPr>
    </w:p>
    <w:bookmarkStart w:id="64" w:name="page65"/>
    <w:bookmarkEnd w:id="64"/>
    <w:p>
      <w:pPr>
        <w:jc w:val="center"/>
        <w:ind w:right="-379"/>
        <w:spacing w:after="0"/>
        <w:rPr>
          <w:sz w:val="20"/>
          <w:szCs w:val="20"/>
          <w:color w:val="auto"/>
        </w:rPr>
      </w:pPr>
      <w:r>
        <w:rPr>
          <w:rFonts w:ascii="Times New Roman" w:cs="Times New Roman" w:eastAsia="Times New Roman" w:hAnsi="Times New Roman"/>
          <w:sz w:val="22"/>
          <w:szCs w:val="22"/>
          <w:color w:val="auto"/>
        </w:rPr>
        <w:t>Synlogic, Inc.</w:t>
      </w:r>
    </w:p>
    <w:p>
      <w:pPr>
        <w:spacing w:after="0" w:line="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301 Binney Street, Suite 402</w:t>
      </w:r>
    </w:p>
    <w:p>
      <w:pPr>
        <w:jc w:val="center"/>
        <w:ind w:right="-379"/>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200" w:lineRule="exact"/>
        <w:rPr>
          <w:sz w:val="20"/>
          <w:szCs w:val="20"/>
          <w:color w:val="auto"/>
        </w:rPr>
      </w:pPr>
    </w:p>
    <w:p>
      <w:pPr>
        <w:spacing w:after="0" w:line="260" w:lineRule="exact"/>
        <w:rPr>
          <w:sz w:val="20"/>
          <w:szCs w:val="20"/>
          <w:color w:val="auto"/>
        </w:rPr>
      </w:pPr>
    </w:p>
    <w:p>
      <w:pPr>
        <w:ind w:left="360" w:firstLine="804"/>
        <w:spacing w:after="0" w:line="270" w:lineRule="auto"/>
        <w:rPr>
          <w:sz w:val="20"/>
          <w:szCs w:val="20"/>
          <w:color w:val="auto"/>
        </w:rPr>
      </w:pPr>
      <w:r>
        <w:rPr>
          <w:rFonts w:ascii="Times New Roman" w:cs="Times New Roman" w:eastAsia="Times New Roman" w:hAnsi="Times New Roman"/>
          <w:sz w:val="21"/>
          <w:szCs w:val="21"/>
          <w:color w:val="auto"/>
        </w:rPr>
        <w:t>If the foregoing correctly sets forth our understanding, please sign, date and return the enclosed copy of this Agreement to the Company.</w:t>
      </w:r>
    </w:p>
    <w:p>
      <w:pPr>
        <w:sectPr>
          <w:pgSz w:w="11900" w:h="16838" w:orient="portrait"/>
          <w:cols w:equalWidth="0" w:num="1">
            <w:col w:w="11280"/>
          </w:cols>
          <w:pgMar w:left="240" w:top="39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Accepted and Agreed: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Andrew 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1470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Andrew 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1470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Date: December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1470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Synlogic, Inc., a Delaware corporation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38074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38074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38074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1971" w:lineRule="exact"/>
        <w:rPr>
          <w:sz w:val="20"/>
          <w:szCs w:val="20"/>
          <w:color w:val="auto"/>
        </w:rPr>
      </w:pPr>
    </w:p>
    <w:p>
      <w:pPr>
        <w:sectPr>
          <w:pgSz w:w="11900" w:h="16838" w:orient="portrait"/>
          <w:cols w:equalWidth="0" w:num="2">
            <w:col w:w="4680" w:space="720"/>
            <w:col w:w="5880"/>
          </w:cols>
          <w:pgMar w:left="240" w:top="396" w:right="37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80"/>
          </w:cols>
          <w:pgMar w:left="240" w:top="396" w:right="37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Aoife Brennan, certify that:</w:t>
      </w:r>
    </w:p>
    <w:p>
      <w:pPr>
        <w:spacing w:after="0" w:line="225"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73"/>
        <w:spacing w:after="0" w:line="266" w:lineRule="auto"/>
        <w:tabs>
          <w:tab w:leader="none" w:pos="1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2"/>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OIFE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RENNAN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274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 and Chief Medical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34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Shegog, certify that:</w:t>
      </w:r>
    </w:p>
    <w:p>
      <w:pPr>
        <w:spacing w:after="0" w:line="22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73"/>
        <w:spacing w:after="0" w:line="266" w:lineRule="auto"/>
        <w:tabs>
          <w:tab w:leader="none" w:pos="1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ODD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HEGOG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420"/>
          </w:cols>
          <w:pgMar w:left="240" w:top="347"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March 31, 2019 as filed with the Securities and Exchange Commission on the date hereof (the “Report”), I, Aoife Brennan, President. Chief Executive Officer and Chief Medical Officer of the Company, certify, pursuant to 18 U.S.C. Section 1350, as adopted pursuant to Section 906 of the Sarbanes-Oxley Act of 2002, to my knowledge that:</w:t>
      </w:r>
    </w:p>
    <w:p>
      <w:pPr>
        <w:spacing w:after="0" w:line="68" w:lineRule="exact"/>
        <w:rPr>
          <w:sz w:val="20"/>
          <w:szCs w:val="20"/>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OIFE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RENNAN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01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Chief Medical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2019</w:t>
      </w:r>
    </w:p>
    <w:p>
      <w:pPr>
        <w:spacing w:after="0" w:line="117"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March 31, 2019 as filed with the Securities and Exchange Commission on the date hereof (the “Report”), I, Todd Shegog, Chief Financial Officer of the Company, certify, pursuant to 18 U.S.C. Section 1350, as adopted pursuant to Section 906 of the Sarbanes-Oxley Act of 2002, to my knowledge that:</w:t>
      </w:r>
    </w:p>
    <w:p>
      <w:pPr>
        <w:spacing w:after="0" w:line="68" w:lineRule="exact"/>
        <w:rPr>
          <w:sz w:val="20"/>
          <w:szCs w:val="20"/>
          <w:color w:val="auto"/>
        </w:rPr>
      </w:pPr>
    </w:p>
    <w:p>
      <w:pPr>
        <w:ind w:left="1040" w:hanging="519"/>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ODD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HEGOG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2019</w:t>
      </w:r>
    </w:p>
    <w:p>
      <w:pPr>
        <w:spacing w:after="0" w:line="117"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lvl w:ilvl="1">
      <w:lvlJc w:val="left"/>
      <w:lvlText w:val="•"/>
      <w:numFmt w:val="bullet"/>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4"/>
    </w:lvl>
  </w:abstractNum>
  <w:abstractNum w:abstractNumId="38">
    <w:nsid w:val="725A06FB"/>
    <w:multiLevelType w:val="hybridMultilevel"/>
    <w:lvl w:ilvl="0">
      <w:lvlJc w:val="left"/>
      <w:lvlText w:val="(%1)"/>
      <w:numFmt w:val="lowerRoman"/>
      <w:start w:val="5"/>
    </w:lvl>
  </w:abstractNum>
  <w:abstractNum w:abstractNumId="39">
    <w:nsid w:val="2CD89A32"/>
    <w:multiLevelType w:val="hybridMultilevel"/>
    <w:lvl w:ilvl="0">
      <w:lvlJc w:val="left"/>
      <w:lvlText w:val="(%1)"/>
      <w:numFmt w:val="decimal"/>
      <w:start w:val="21"/>
    </w:lvl>
  </w:abstractNum>
  <w:abstractNum w:abstractNumId="40">
    <w:nsid w:val="57E4CCAF"/>
    <w:multiLevelType w:val="hybridMultilevel"/>
    <w:lvl w:ilvl="0">
      <w:lvlJc w:val="left"/>
      <w:lvlText w:val="%1."/>
      <w:numFmt w:val="decimal"/>
      <w:start w:val="6"/>
    </w:lvl>
  </w:abstractNum>
  <w:abstractNum w:abstractNumId="41">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3">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6">
    <w:nsid w:val="7644A45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2019-12-28T12:54:35Z</dcterms:created>
  <dcterms:modified xsi:type="dcterms:W3CDTF">2019-12-28T12:54:35Z</dcterms:modified>
</cp:coreProperties>
</file>